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0"/>
      </w:pPr>
      <w:r>
        <w:rPr>
          <w:rFonts w:ascii="Arial" w:cs="Arial" w:eastAsia="Arial" w:hAnsi="Arial"/>
        </w:rPr>
        <w:t xml:space="preserve"/>
      </w:r>
    </w:p>
    <w:p>
      <w:pPr>
        <w:spacing w:before="0" w:after="80"/>
        <w:jc w:val="center"/>
      </w:pPr>
      <w:r>
        <w:rPr>
          <w:rFonts w:ascii="Arial" w:cs="Arial" w:eastAsia="Arial" w:hAnsi="Arial"/>
          <w:b/>
          <w:bCs/>
          <w:color w:val="1B3A6B"/>
          <w:sz w:val="96"/>
          <w:szCs w:val="96"/>
        </w:rPr>
        <w:t xml:space="preserve">MARS</w:t>
      </w:r>
    </w:p>
    <w:p>
      <w:pPr>
        <w:spacing w:before="0" w:after="80"/>
        <w:jc w:val="center"/>
      </w:pPr>
      <w:r>
        <w:rPr>
          <w:rFonts w:ascii="Arial" w:cs="Arial" w:eastAsia="Arial" w:hAnsi="Arial"/>
          <w:b/>
          <w:bCs/>
          <w:color w:val="2E75B6"/>
          <w:sz w:val="36"/>
          <w:szCs w:val="36"/>
        </w:rPr>
        <w:t xml:space="preserve">Machine Assets Reporting Standard</w:t>
      </w:r>
    </w:p>
    <w:p>
      <w:pPr>
        <w:spacing w:before="80" w:after="400"/>
        <w:jc w:val="center"/>
      </w:pPr>
      <w:r>
        <w:rPr>
          <w:rFonts w:ascii="Arial" w:cs="Arial" w:eastAsia="Arial" w:hAnsi="Arial"/>
          <w:color w:val="555555"/>
          <w:sz w:val="26"/>
          <w:szCs w:val="26"/>
        </w:rPr>
        <w:t xml:space="preserve">ROI Methodology, Insurance Framework &amp; Implementation Guide</w:t>
      </w:r>
    </w:p>
    <w:p>
      <w:pPr>
        <w:spacing w:before="0" w:after="120"/>
        <w:jc w:val="center"/>
      </w:pPr>
      <w:r>
        <w:rPr>
          <w:rFonts w:ascii="Arial" w:cs="Arial" w:eastAsia="Arial" w:hAnsi="Arial"/>
          <w:i/>
          <w:iCs/>
          <w:color w:val="777777"/>
          <w:sz w:val="22"/>
          <w:szCs w:val="22"/>
        </w:rPr>
        <w:t xml:space="preserve">Version 0.9  |  March 2026  |  Public Draft for Community Review</w:t>
      </w:r>
    </w:p>
    <w:p>
      <w:pPr>
        <w:spacing w:before="0" w:after="120"/>
        <w:jc w:val="center"/>
      </w:pPr>
      <w:r>
        <w:rPr>
          <w:rFonts w:ascii="Arial" w:cs="Arial" w:eastAsia="Arial" w:hAnsi="Arial"/>
          <w:color w:val="777777"/>
          <w:sz w:val="22"/>
          <w:szCs w:val="22"/>
        </w:rPr>
        <w:t xml:space="preserve">MachineAssets.ai  |  emmanuel@machineassets.com</w:t>
      </w:r>
    </w:p>
    <w:p>
      <w:pPr>
        <w:spacing w:before="0" w:after="800"/>
        <w:jc w:val="center"/>
      </w:pPr>
      <w:r>
        <w:rPr>
          <w:rFonts w:ascii="Arial" w:cs="Arial" w:eastAsia="Arial" w:hAnsi="Arial"/>
          <w:i/>
          <w:iCs/>
          <w:color w:val="999999"/>
          <w:sz w:val="20"/>
          <w:szCs w:val="20"/>
        </w:rPr>
        <w:t xml:space="preserve">Published under Creative Commons Attribution 4.0 (CC BY 4.0)</w:t>
      </w:r>
    </w:p>
    <w:p>
      <w:pPr>
        <w:jc w:val="center"/>
        <w:rPr>
          <w:i/>
          <w:color w:val="999999"/>
          <w:sz w:val="16"/>
          <w:szCs w:val="16"/>
        </w:rPr>
      </w:pPr>
      <w:r>
        <w:rPr>
          <w:i/>
          <w:color w:val="999999"/>
          <w:sz w:val="16"/>
          <w:szCs w:val="16"/>
        </w:rPr>
        <w:t xml:space="preserve">Company names and deployment references are used for illustrative purposes only. All performance figures and financial estimates are based on publicly available information and are not verified by or affiliated with the referenced companies. MARS is an independent open standard not affiliated with, sponsored by, or endorsed by BMW, Toyota, Figure AI, Agility Robotics, Boston Dynamics, Munich Re, or any other entity referenced herein. Nothing in this document constitutes financial, legal, or insurance advice.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c>
          <w:tcPr>
            <w:tcW w:type="dxa" w:w="9360"/>
            <w:gridSpan w:val="2"/>
            <w:tcBorders>
              <w:top w:val="single" w:color="2E75B6" w:sz="1"/>
              <w:left w:val="single" w:color="2E75B6" w:sz="1"/>
              <w:bottom w:val="single" w:color="2E75B6" w:sz="1"/>
              <w:right w:val="single" w:color="2E75B6" w:sz="1"/>
            </w:tcBorders>
            <w:shd w:fill="1B3A6B" w:val="clear"/>
            <w:tcMar>
              <w:top w:type="dxa" w:w="100"/>
              <w:left w:type="dxa" w:w="160"/>
              <w:bottom w:type="dxa" w:w="100"/>
              <w:right w:type="dxa" w:w="160"/>
            </w:tcMar>
          </w:tcPr>
          <w:p>
            <w:pPr>
              <w:jc w:val="center"/>
            </w:pPr>
            <w:r>
              <w:rPr>
                <w:rFonts w:ascii="Arial" w:cs="Arial" w:eastAsia="Arial" w:hAnsi="Arial"/>
                <w:b/>
                <w:bCs/>
                <w:color w:val="FFFFFF"/>
                <w:sz w:val="22"/>
                <w:szCs w:val="22"/>
              </w:rPr>
              <w:t xml:space="preserve">DOCUMENT IDENTITY</w:t>
            </w:r>
          </w:p>
        </w:tc>
      </w:tr>
      <w:tr>
        <w:tc>
          <w:tcPr>
            <w:tcW w:type="dxa" w:w="2000"/>
            <w:tcBorders>
              <w:top w:val="single" w:color="CCCCCC" w:sz="1"/>
              <w:left w:val="single" w:color="CCCCCC" w:sz="1"/>
              <w:bottom w:val="single" w:color="CCCCCC" w:sz="1"/>
              <w:right w:val="single" w:color="CCCCCC" w:sz="1"/>
            </w:tcBorders>
            <w:shd w:fill="E8EFF8" w:val="clear"/>
            <w:tcMar>
              <w:top w:type="dxa" w:w="80"/>
              <w:left w:type="dxa" w:w="120"/>
              <w:bottom w:type="dxa" w:w="80"/>
              <w:right w:type="dxa" w:w="120"/>
            </w:tcMar>
          </w:tcPr>
          <w:p>
            <w:r>
              <w:rPr>
                <w:rFonts w:ascii="Arial" w:cs="Arial" w:eastAsia="Arial" w:hAnsi="Arial"/>
                <w:b/>
                <w:bCs/>
                <w:sz w:val="20"/>
                <w:szCs w:val="20"/>
              </w:rPr>
              <w:t xml:space="preserve">Document title</w:t>
            </w:r>
          </w:p>
        </w:tc>
        <w:tc>
          <w:tcPr>
            <w:tcW w:type="dxa" w:w="7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MARS v0.9 — ROI Methodology, Insurance Framework &amp; Implementation Guide</w:t>
            </w:r>
          </w:p>
        </w:tc>
      </w:tr>
      <w:tr>
        <w:tc>
          <w:tcPr>
            <w:tcW w:type="dxa" w:w="2000"/>
            <w:tcBorders>
              <w:top w:val="single" w:color="CCCCCC" w:sz="1"/>
              <w:left w:val="single" w:color="CCCCCC" w:sz="1"/>
              <w:bottom w:val="single" w:color="CCCCCC" w:sz="1"/>
              <w:right w:val="single" w:color="CCCCCC" w:sz="1"/>
            </w:tcBorders>
            <w:shd w:fill="E8EFF8" w:val="clear"/>
            <w:tcMar>
              <w:top w:type="dxa" w:w="80"/>
              <w:left w:type="dxa" w:w="120"/>
              <w:bottom w:type="dxa" w:w="80"/>
              <w:right w:type="dxa" w:w="120"/>
            </w:tcMar>
          </w:tcPr>
          <w:p>
            <w:r>
              <w:rPr>
                <w:rFonts w:ascii="Arial" w:cs="Arial" w:eastAsia="Arial" w:hAnsi="Arial"/>
                <w:b/>
                <w:bCs/>
                <w:sz w:val="20"/>
                <w:szCs w:val="20"/>
              </w:rPr>
              <w:t xml:space="preserve">Technical purpose</w:t>
            </w:r>
          </w:p>
        </w:tc>
        <w:tc>
          <w:tcPr>
            <w:tcW w:type="dxa" w:w="7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Define a neutral, open, cross-manufacturer schema and calculation framework for autonomous machine performance, ROI, and insurance underwriting</w:t>
            </w:r>
          </w:p>
        </w:tc>
      </w:tr>
      <w:tr>
        <w:tc>
          <w:tcPr>
            <w:tcW w:type="dxa" w:w="2000"/>
            <w:tcBorders>
              <w:top w:val="single" w:color="CCCCCC" w:sz="1"/>
              <w:left w:val="single" w:color="CCCCCC" w:sz="1"/>
              <w:bottom w:val="single" w:color="CCCCCC" w:sz="1"/>
              <w:right w:val="single" w:color="CCCCCC" w:sz="1"/>
            </w:tcBorders>
            <w:shd w:fill="E8EFF8" w:val="clear"/>
            <w:tcMar>
              <w:top w:type="dxa" w:w="80"/>
              <w:left w:type="dxa" w:w="120"/>
              <w:bottom w:type="dxa" w:w="80"/>
              <w:right w:type="dxa" w:w="120"/>
            </w:tcMar>
          </w:tcPr>
          <w:p>
            <w:r>
              <w:rPr>
                <w:rFonts w:ascii="Arial" w:cs="Arial" w:eastAsia="Arial" w:hAnsi="Arial"/>
                <w:b/>
                <w:bCs/>
                <w:sz w:val="20"/>
                <w:szCs w:val="20"/>
              </w:rPr>
              <w:t xml:space="preserve">Plain English purpose</w:t>
            </w:r>
          </w:p>
        </w:tc>
        <w:tc>
          <w:tcPr>
            <w:tcW w:type="dxa" w:w="7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Give every robot operator, insurer, and manufacturer the same measuring stick — so everyone agrees on what a robot is worth and how well it is working</w:t>
            </w:r>
          </w:p>
        </w:tc>
      </w:tr>
      <w:tr>
        <w:tc>
          <w:tcPr>
            <w:tcW w:type="dxa" w:w="2000"/>
            <w:tcBorders>
              <w:top w:val="single" w:color="CCCCCC" w:sz="1"/>
              <w:left w:val="single" w:color="CCCCCC" w:sz="1"/>
              <w:bottom w:val="single" w:color="CCCCCC" w:sz="1"/>
              <w:right w:val="single" w:color="CCCCCC" w:sz="1"/>
            </w:tcBorders>
            <w:shd w:fill="E8EFF8" w:val="clear"/>
            <w:tcMar>
              <w:top w:type="dxa" w:w="80"/>
              <w:left w:type="dxa" w:w="120"/>
              <w:bottom w:type="dxa" w:w="80"/>
              <w:right w:type="dxa" w:w="120"/>
            </w:tcMar>
          </w:tcPr>
          <w:p>
            <w:r>
              <w:rPr>
                <w:rFonts w:ascii="Arial" w:cs="Arial" w:eastAsia="Arial" w:hAnsi="Arial"/>
                <w:b/>
                <w:bCs/>
                <w:sz w:val="20"/>
                <w:szCs w:val="20"/>
              </w:rPr>
              <w:t xml:space="preserve">Status</w:t>
            </w:r>
          </w:p>
        </w:tc>
        <w:tc>
          <w:tcPr>
            <w:tcW w:type="dxa" w:w="7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Public Draft v0.9 — actively seeking technical review from robotics engineers, actuaries, and fleet operators</w:t>
            </w:r>
          </w:p>
        </w:tc>
      </w:tr>
      <w:tr>
        <w:tc>
          <w:tcPr>
            <w:tcW w:type="dxa" w:w="2000"/>
            <w:tcBorders>
              <w:top w:val="single" w:color="CCCCCC" w:sz="1"/>
              <w:left w:val="single" w:color="CCCCCC" w:sz="1"/>
              <w:bottom w:val="single" w:color="CCCCCC" w:sz="1"/>
              <w:right w:val="single" w:color="CCCCCC" w:sz="1"/>
            </w:tcBorders>
            <w:shd w:fill="E8EFF8" w:val="clear"/>
            <w:tcMar>
              <w:top w:type="dxa" w:w="80"/>
              <w:left w:type="dxa" w:w="120"/>
              <w:bottom w:type="dxa" w:w="80"/>
              <w:right w:type="dxa" w:w="120"/>
            </w:tcMar>
          </w:tcPr>
          <w:p>
            <w:r>
              <w:rPr>
                <w:rFonts w:ascii="Arial" w:cs="Arial" w:eastAsia="Arial" w:hAnsi="Arial"/>
                <w:b/>
                <w:bCs/>
                <w:sz w:val="20"/>
                <w:szCs w:val="20"/>
              </w:rPr>
              <w:t xml:space="preserve">Intended audience</w:t>
            </w:r>
          </w:p>
        </w:tc>
        <w:tc>
          <w:tcPr>
            <w:tcW w:type="dxa" w:w="7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Robot fleet operators, insurance underwriters, RaaS providers, OEM engineers, standards reviewers</w:t>
            </w:r>
          </w:p>
        </w:tc>
      </w:tr>
      <w:tr>
        <w:tc>
          <w:tcPr>
            <w:tcW w:type="dxa" w:w="2000"/>
            <w:tcBorders>
              <w:top w:val="single" w:color="CCCCCC" w:sz="1"/>
              <w:left w:val="single" w:color="CCCCCC" w:sz="1"/>
              <w:bottom w:val="single" w:color="CCCCCC" w:sz="1"/>
              <w:right w:val="single" w:color="CCCCCC" w:sz="1"/>
            </w:tcBorders>
            <w:shd w:fill="E8EFF8" w:val="clear"/>
            <w:tcMar>
              <w:top w:type="dxa" w:w="80"/>
              <w:left w:type="dxa" w:w="120"/>
              <w:bottom w:type="dxa" w:w="80"/>
              <w:right w:type="dxa" w:w="120"/>
            </w:tcMar>
          </w:tcPr>
          <w:p>
            <w:r>
              <w:rPr>
                <w:rFonts w:ascii="Arial" w:cs="Arial" w:eastAsia="Arial" w:hAnsi="Arial"/>
                <w:b/>
                <w:bCs/>
                <w:sz w:val="20"/>
                <w:szCs w:val="20"/>
              </w:rPr>
              <w:t xml:space="preserve">What to trust fully</w:t>
            </w:r>
          </w:p>
        </w:tc>
        <w:tc>
          <w:tcPr>
            <w:tcW w:type="dxa" w:w="7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Formula structure, variable definitions, calculation logic, ISO standard references</w:t>
            </w:r>
          </w:p>
        </w:tc>
      </w:tr>
      <w:tr>
        <w:tc>
          <w:tcPr>
            <w:tcW w:type="dxa" w:w="2000"/>
            <w:tcBorders>
              <w:top w:val="single" w:color="CCCCCC" w:sz="1"/>
              <w:left w:val="single" w:color="CCCCCC" w:sz="1"/>
              <w:bottom w:val="single" w:color="CCCCCC" w:sz="1"/>
              <w:right w:val="single" w:color="CCCCCC" w:sz="1"/>
            </w:tcBorders>
            <w:shd w:fill="E8EFF8" w:val="clear"/>
            <w:tcMar>
              <w:top w:type="dxa" w:w="80"/>
              <w:left w:type="dxa" w:w="120"/>
              <w:bottom w:type="dxa" w:w="80"/>
              <w:right w:type="dxa" w:w="120"/>
            </w:tcMar>
          </w:tcPr>
          <w:p>
            <w:r>
              <w:rPr>
                <w:rFonts w:ascii="Arial" w:cs="Arial" w:eastAsia="Arial" w:hAnsi="Arial"/>
                <w:b/>
                <w:bCs/>
                <w:sz w:val="20"/>
                <w:szCs w:val="20"/>
              </w:rPr>
              <w:t xml:space="preserve">What is estimated</w:t>
            </w:r>
          </w:p>
        </w:tc>
        <w:tc>
          <w:tcPr>
            <w:tcW w:type="dxa" w:w="7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Benchmark thresholds (TSR, MTBI ranges), MRS weighting factors, depreciation rates — labeled throughout</w:t>
            </w:r>
          </w:p>
        </w:tc>
      </w:tr>
      <w:tr>
        <w:tc>
          <w:tcPr>
            <w:tcW w:type="dxa" w:w="2000"/>
            <w:tcBorders>
              <w:top w:val="single" w:color="CCCCCC" w:sz="1"/>
              <w:left w:val="single" w:color="CCCCCC" w:sz="1"/>
              <w:bottom w:val="single" w:color="CCCCCC" w:sz="1"/>
              <w:right w:val="single" w:color="CCCCCC" w:sz="1"/>
            </w:tcBorders>
            <w:shd w:fill="E8EFF8" w:val="clear"/>
            <w:tcMar>
              <w:top w:type="dxa" w:w="80"/>
              <w:left w:type="dxa" w:w="120"/>
              <w:bottom w:type="dxa" w:w="80"/>
              <w:right w:type="dxa" w:w="120"/>
            </w:tcMar>
          </w:tcPr>
          <w:p>
            <w:r>
              <w:rPr>
                <w:rFonts w:ascii="Arial" w:cs="Arial" w:eastAsia="Arial" w:hAnsi="Arial"/>
                <w:b/>
                <w:bCs/>
                <w:sz w:val="20"/>
                <w:szCs w:val="20"/>
              </w:rPr>
              <w:t xml:space="preserve">License</w:t>
            </w:r>
          </w:p>
        </w:tc>
        <w:tc>
          <w:tcPr>
            <w:tcW w:type="dxa" w:w="7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CC BY 4.0 — free to use, adapt, and redistribute with attribution</w:t>
            </w:r>
          </w:p>
        </w:tc>
      </w:tr>
    </w:tbl>
    <w:p>
      <w:r>
        <w:br w:type="page"/>
      </w:r>
    </w:p>
    <w:p>
      <w:pPr>
        <w:pStyle w:val="Heading1"/>
        <w:pBdr>
          <w:bottom w:val="single" w:color="2E75B6" w:sz="6" w:space="1"/>
        </w:pBdr>
        <w:spacing w:before="400" w:after="160"/>
      </w:pPr>
      <w:r>
        <w:rPr>
          <w:rFonts w:ascii="Arial" w:cs="Arial" w:eastAsia="Arial" w:hAnsi="Arial"/>
          <w:b/>
          <w:bCs/>
          <w:color w:val="1B3A6B"/>
          <w:sz w:val="36"/>
          <w:szCs w:val="36"/>
        </w:rPr>
        <w:t xml:space="preserve">1. What Is MARS?</w:t>
      </w:r>
    </w:p>
    <w:p>
      <w:pPr>
        <w:pStyle w:val="Heading2"/>
        <w:spacing w:before="280" w:after="120"/>
      </w:pPr>
      <w:r>
        <w:rPr>
          <w:rFonts w:ascii="Arial" w:cs="Arial" w:eastAsia="Arial" w:hAnsi="Arial"/>
          <w:b/>
          <w:bCs/>
          <w:color w:val="1B3A6B"/>
          <w:sz w:val="28"/>
          <w:szCs w:val="28"/>
        </w:rPr>
        <w:t xml:space="preserve">1.1 Plain English</w:t>
      </w:r>
    </w:p>
    <w:p>
      <w:pPr>
        <w:spacing w:before="80" w:after="120"/>
        <w:jc w:val="both"/>
      </w:pPr>
      <w:r>
        <w:rPr>
          <w:rFonts w:ascii="Arial" w:cs="Arial" w:eastAsia="Arial" w:hAnsi="Arial"/>
          <w:sz w:val="22"/>
          <w:szCs w:val="22"/>
        </w:rPr>
        <w:t xml:space="preserve">Today, every robot reports performance differently — or not at all. A logistics manager at a BMW plant cannot compare the economic performance of a Figure 02 against a Boston Dynamics Atlas using any neutral, shared standard. An insurer pricing coverage for a humanoid robot has no auditable data record to underwrite against. A CFO approving a 10-robot fleet purchase has no way to calculate genuine ROI across manufacturers.</w:t>
      </w:r>
    </w:p>
    <w:p>
      <w:pPr>
        <w:spacing w:before="80" w:after="120"/>
        <w:jc w:val="both"/>
      </w:pPr>
      <w:r>
        <w:rPr>
          <w:rFonts w:ascii="Arial" w:cs="Arial" w:eastAsia="Arial" w:hAnsi="Arial"/>
          <w:sz w:val="22"/>
          <w:szCs w:val="22"/>
        </w:rPr>
        <w:t xml:space="preserve">MARS is the shared measuring stick that does not exist yet. It is an open data standard that any robot — regardless of manufacturer — can report against, producing records structured specifically for ROI calculation, insurance underwriting, and cross-fleet benchmarking.</w:t>
      </w:r>
    </w:p>
    <w:p>
      <w:pPr>
        <w:spacing w:before="80" w:after="120"/>
        <w:jc w:val="both"/>
      </w:pPr>
      <w:r>
        <w:rPr>
          <w:rFonts w:ascii="Arial" w:cs="Arial" w:eastAsia="Arial" w:hAnsi="Arial"/>
          <w:sz w:val="22"/>
          <w:szCs w:val="22"/>
        </w:rPr>
        <w:t xml:space="preserve">Think of it as CARFAX for autonomous machines. Just as a used car's CARFAX report follows it from first sale through every owner, a robot's MARS record follows it from deployment through its entire operational life — substantiating its performance history, informing resale value, and enabling parametric insurance that triggers automatically on data.</w:t>
      </w:r>
    </w:p>
    <w:p>
      <w:pPr>
        <w:pStyle w:val="Heading2"/>
        <w:spacing w:before="280" w:after="120"/>
      </w:pPr>
      <w:r>
        <w:rPr>
          <w:rFonts w:ascii="Arial" w:cs="Arial" w:eastAsia="Arial" w:hAnsi="Arial"/>
          <w:b/>
          <w:bCs/>
          <w:color w:val="1B3A6B"/>
          <w:sz w:val="28"/>
          <w:szCs w:val="28"/>
        </w:rPr>
        <w:t xml:space="preserve">1.2 Technical Definition</w:t>
      </w:r>
    </w:p>
    <w:p>
      <w:pPr>
        <w:spacing w:before="80" w:after="120"/>
        <w:jc w:val="both"/>
      </w:pPr>
      <w:r>
        <w:rPr>
          <w:rFonts w:ascii="Arial" w:cs="Arial" w:eastAsia="Arial" w:hAnsi="Arial"/>
          <w:sz w:val="22"/>
          <w:szCs w:val="22"/>
        </w:rPr>
        <w:t xml:space="preserve">MARS is a JSON Schema (draft-07) telemetry standard defining 19 structured objects that capture the operational, AI performance, safety, energy, maintenance, and financial data required to compute the AM-ROI formula, the MARS Risk Score (MRS), and RaaS SLA compliance status for any autonomous machine deployment.</w:t>
      </w:r>
    </w:p>
    <w:p>
      <w:pPr>
        <w:spacing w:before="80" w:after="120"/>
        <w:jc w:val="both"/>
      </w:pPr>
      <w:r>
        <w:rPr>
          <w:rFonts w:ascii="Arial" w:cs="Arial" w:eastAsia="Arial" w:hAnsi="Arial"/>
          <w:sz w:val="22"/>
          <w:szCs w:val="22"/>
        </w:rPr>
        <w:t xml:space="preserve">The standard is designed to be: integration-path agnostic (ROS2, vendor API, direct SDK, or manual entry); deployment-type normalised (benchmarks adjust by environment class); auditable (SHA-256 hash chain on every record); and extensible (additional modules planned for agricultural, healthcare, and construction deployments).</w:t>
      </w:r>
    </w:p>
    <w:p>
      <w:pPr>
        <w:pBdr>
          <w:bottom w:val="single" w:color="DDDDDD" w:sz="3" w:space="1"/>
        </w:pBdr>
        <w:spacing w:before="160" w:after="160"/>
      </w:pPr>
      <w:r>
        <w:rPr>
          <w:rFonts w:ascii="Arial" w:cs="Arial" w:eastAsia="Arial" w:hAnsi="Arial"/>
        </w:rPr>
        <w:t xml:space="preserve"/>
      </w:r>
    </w:p>
    <w:p>
      <w:pPr>
        <w:pStyle w:val="Heading1"/>
        <w:pBdr>
          <w:bottom w:val="single" w:color="2E75B6" w:sz="6" w:space="1"/>
        </w:pBdr>
        <w:spacing w:before="400" w:after="160"/>
      </w:pPr>
      <w:r>
        <w:rPr>
          <w:rFonts w:ascii="Arial" w:cs="Arial" w:eastAsia="Arial" w:hAnsi="Arial"/>
          <w:b/>
          <w:bCs/>
          <w:color w:val="1B3A6B"/>
          <w:sz w:val="36"/>
          <w:szCs w:val="36"/>
        </w:rPr>
        <w:t xml:space="preserve">2. Core Variables Reference</w:t>
      </w:r>
    </w:p>
    <w:p>
      <w:pPr>
        <w:spacing w:before="80" w:after="120"/>
        <w:jc w:val="both"/>
      </w:pPr>
      <w:r>
        <w:rPr>
          <w:rFonts w:ascii="Arial" w:cs="Arial" w:eastAsia="Arial" w:hAnsi="Arial"/>
          <w:sz w:val="22"/>
          <w:szCs w:val="22"/>
        </w:rPr>
        <w:t xml:space="preserve">Every formula in this document uses the following variables. This table is the single source of truth.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2400"/>
        <w:gridCol w:w="5760"/>
      </w:tblGrid>
      <w:tr>
        <w:tc>
          <w:tcPr>
            <w:tcW w:type="dxa" w:w="1200"/>
            <w:tcBorders>
              <w:top w:val="single" w:color="2E75B6" w:sz="1"/>
              <w:left w:val="single" w:color="2E75B6" w:sz="1"/>
              <w:bottom w:val="single" w:color="2E75B6" w:sz="1"/>
              <w:right w:val="single" w:color="2E75B6"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Variable</w:t>
            </w:r>
          </w:p>
        </w:tc>
        <w:tc>
          <w:tcPr>
            <w:tcW w:type="dxa" w:w="2400"/>
            <w:tcBorders>
              <w:top w:val="single" w:color="2E75B6" w:sz="1"/>
              <w:left w:val="single" w:color="2E75B6" w:sz="1"/>
              <w:bottom w:val="single" w:color="2E75B6" w:sz="1"/>
              <w:right w:val="single" w:color="2E75B6"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Full Name</w:t>
            </w:r>
          </w:p>
        </w:tc>
        <w:tc>
          <w:tcPr>
            <w:tcW w:type="dxa" w:w="5760"/>
            <w:tcBorders>
              <w:top w:val="single" w:color="2E75B6" w:sz="1"/>
              <w:left w:val="single" w:color="2E75B6" w:sz="1"/>
              <w:bottom w:val="single" w:color="2E75B6" w:sz="1"/>
              <w:right w:val="single" w:color="2E75B6"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Definition</w:t>
            </w:r>
          </w:p>
        </w:tc>
      </w:tr>
      <w:tr>
        <w:tc>
          <w:tcPr>
            <w:tcW w:type="dxa" w:w="1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ourier New" w:cs="Courier New" w:eastAsia="Courier New" w:hAnsi="Courier New"/>
                <w:sz w:val="20"/>
                <w:szCs w:val="20"/>
              </w:rPr>
              <w:t xml:space="preserve">P</w:t>
            </w:r>
          </w:p>
        </w:tc>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Purchase Price</w:t>
            </w:r>
          </w:p>
        </w:tc>
        <w:tc>
          <w:tcPr>
            <w:tcW w:type="dxa" w:w="57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Full acquisition cost of robot: hardware + initial software + installation. Currency as contracted. This is the capital base for all depreciation and payback calculations.</w:t>
            </w:r>
          </w:p>
        </w:tc>
      </w:tr>
      <w:tr>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ourier New" w:cs="Courier New" w:eastAsia="Courier New" w:hAnsi="Courier New"/>
                <w:sz w:val="20"/>
                <w:szCs w:val="20"/>
              </w:rPr>
              <w:t xml:space="preserve">L</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Expected Lifespan</w:t>
            </w:r>
          </w:p>
        </w:tc>
        <w:tc>
          <w:tcPr>
            <w:tcW w:type="dxa" w:w="5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Manufacturer or operator-estimated operational lifespan in years at rated performance. Determines annual capital cost: P / L.</w:t>
            </w:r>
          </w:p>
        </w:tc>
      </w:tr>
      <w:tr>
        <w:tc>
          <w:tcPr>
            <w:tcW w:type="dxa" w:w="1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ourier New" w:cs="Courier New" w:eastAsia="Courier New" w:hAnsi="Courier New"/>
                <w:sz w:val="20"/>
                <w:szCs w:val="20"/>
              </w:rPr>
              <w:t xml:space="preserve">H_op</w:t>
            </w:r>
          </w:p>
        </w:tc>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Operating Hours</w:t>
            </w:r>
          </w:p>
        </w:tc>
        <w:tc>
          <w:tcPr>
            <w:tcW w:type="dxa" w:w="57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Total hours robot is operational in the measurement period (uptime). Includes autonomous and human-assisted operation.</w:t>
            </w:r>
          </w:p>
        </w:tc>
      </w:tr>
      <w:tr>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ourier New" w:cs="Courier New" w:eastAsia="Courier New" w:hAnsi="Courier New"/>
                <w:sz w:val="20"/>
                <w:szCs w:val="20"/>
              </w:rPr>
              <w:t xml:space="preserve">H_auto</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Autonomous Hours</w:t>
            </w:r>
          </w:p>
        </w:tc>
        <w:tc>
          <w:tcPr>
            <w:tcW w:type="dxa" w:w="5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Hours of operation completed without any human intervention in the period.</w:t>
            </w:r>
          </w:p>
        </w:tc>
      </w:tr>
      <w:tr>
        <w:tc>
          <w:tcPr>
            <w:tcW w:type="dxa" w:w="1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ourier New" w:cs="Courier New" w:eastAsia="Courier New" w:hAnsi="Courier New"/>
                <w:sz w:val="20"/>
                <w:szCs w:val="20"/>
              </w:rPr>
              <w:t xml:space="preserve">H_assist</w:t>
            </w:r>
          </w:p>
        </w:tc>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Assisted Hours</w:t>
            </w:r>
          </w:p>
        </w:tc>
        <w:tc>
          <w:tcPr>
            <w:tcW w:type="dxa" w:w="57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Hours requiring human physical intervention. H_auto + H_assist = H_op.</w:t>
            </w:r>
          </w:p>
        </w:tc>
      </w:tr>
      <w:tr>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ourier New" w:cs="Courier New" w:eastAsia="Courier New" w:hAnsi="Courier New"/>
                <w:sz w:val="20"/>
                <w:szCs w:val="20"/>
              </w:rPr>
              <w:t xml:space="preserve">TSR</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Task Success Ratio</w:t>
            </w:r>
          </w:p>
        </w:tc>
        <w:tc>
          <w:tcPr>
            <w:tcW w:type="dxa" w:w="5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tasks_completed / tasks_attempted. Range 0.0-1.0. Partial completions count as failed. Minimum for standard insurance underwriting: 0.70.</w:t>
            </w:r>
          </w:p>
        </w:tc>
      </w:tr>
      <w:tr>
        <w:tc>
          <w:tcPr>
            <w:tcW w:type="dxa" w:w="1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ourier New" w:cs="Courier New" w:eastAsia="Courier New" w:hAnsi="Courier New"/>
                <w:sz w:val="20"/>
                <w:szCs w:val="20"/>
              </w:rPr>
              <w:t xml:space="preserve">AS</w:t>
            </w:r>
          </w:p>
        </w:tc>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Autonomy Score</w:t>
            </w:r>
          </w:p>
        </w:tc>
        <w:tc>
          <w:tcPr>
            <w:tcW w:type="dxa" w:w="57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1 - (H_assist / H_op). Range 0.0-1.0. Derived field — must equal 1 minus intervention rate. Target for standard insurance rates: &gt;= 0.85.</w:t>
            </w:r>
          </w:p>
        </w:tc>
      </w:tr>
      <w:tr>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ourier New" w:cs="Courier New" w:eastAsia="Courier New" w:hAnsi="Courier New"/>
                <w:sz w:val="20"/>
                <w:szCs w:val="20"/>
              </w:rPr>
              <w:t xml:space="preserve">IR</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Intervention Rate</w:t>
            </w:r>
          </w:p>
        </w:tc>
        <w:tc>
          <w:tcPr>
            <w:tcW w:type="dxa" w:w="5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H_assist / H_op. Complement of AS. The raw operational measurement from which AS is derived.</w:t>
            </w:r>
          </w:p>
        </w:tc>
      </w:tr>
      <w:tr>
        <w:tc>
          <w:tcPr>
            <w:tcW w:type="dxa" w:w="1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ourier New" w:cs="Courier New" w:eastAsia="Courier New" w:hAnsi="Courier New"/>
                <w:sz w:val="20"/>
                <w:szCs w:val="20"/>
              </w:rPr>
              <w:t xml:space="preserve">MTBI</w:t>
            </w:r>
          </w:p>
        </w:tc>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Mean Time Between Incidents</w:t>
            </w:r>
          </w:p>
        </w:tc>
        <w:tc>
          <w:tcPr>
            <w:tcW w:type="dxa" w:w="57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H_op / incident_count. Incidents include unplanned stoppages, safety triggers, task failures requiring restart, and human interventions. Analogous to MTBF in classical reliability engineering.</w:t>
            </w:r>
          </w:p>
        </w:tc>
      </w:tr>
      <w:tr>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ourier New" w:cs="Courier New" w:eastAsia="Courier New" w:hAnsi="Courier New"/>
                <w:sz w:val="20"/>
                <w:szCs w:val="20"/>
              </w:rPr>
              <w:t xml:space="preserve">HLE</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Human Labor Equivalent</w:t>
            </w:r>
          </w:p>
        </w:tc>
        <w:tc>
          <w:tcPr>
            <w:tcW w:type="dxa" w:w="5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Fully-loaded annual cost of the human worker(s) the robot replaces or augments. Formula: (hourly_wage x 1.35) x H_op. The 1.35 multiplier is the standard employer burden factor covering payroll taxes, benefits, workers compensation, and overhead.</w:t>
            </w:r>
          </w:p>
        </w:tc>
      </w:tr>
      <w:tr>
        <w:tc>
          <w:tcPr>
            <w:tcW w:type="dxa" w:w="1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ourier New" w:cs="Courier New" w:eastAsia="Courier New" w:hAnsi="Courier New"/>
                <w:sz w:val="20"/>
                <w:szCs w:val="20"/>
              </w:rPr>
              <w:t xml:space="preserve">DF</w:t>
            </w:r>
          </w:p>
        </w:tc>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Displacement Factor</w:t>
            </w:r>
          </w:p>
        </w:tc>
        <w:tc>
          <w:tcPr>
            <w:tcW w:type="dxa" w:w="57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Degree of human labor displacement. 1.0 = full replacement of one worker. 0.5 = augmentation — robot and human each doing half the work. 0.0 = entirely new capability, no displacement. Operator-provided.</w:t>
            </w:r>
          </w:p>
        </w:tc>
      </w:tr>
      <w:tr>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ourier New" w:cs="Courier New" w:eastAsia="Courier New" w:hAnsi="Courier New"/>
                <w:sz w:val="20"/>
                <w:szCs w:val="20"/>
              </w:rPr>
              <w:t xml:space="preserve">R</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Revenue Direct</w:t>
            </w:r>
          </w:p>
        </w:tc>
        <w:tc>
          <w:tcPr>
            <w:tcW w:type="dxa" w:w="5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Direct revenue attributable to robot in period. For RaaS: contracted value delivered. For internal deployments: typically 0, with value captured via HLE displacement.</w:t>
            </w:r>
          </w:p>
        </w:tc>
      </w:tr>
      <w:tr>
        <w:tc>
          <w:tcPr>
            <w:tcW w:type="dxa" w:w="1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ourier New" w:cs="Courier New" w:eastAsia="Courier New" w:hAnsi="Courier New"/>
                <w:sz w:val="20"/>
                <w:szCs w:val="20"/>
              </w:rPr>
              <w:t xml:space="preserve">TCO</w:t>
            </w:r>
          </w:p>
        </w:tc>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Total Cost of Ownership</w:t>
            </w:r>
          </w:p>
        </w:tc>
        <w:tc>
          <w:tcPr>
            <w:tcW w:type="dxa" w:w="57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Annual: (P/L) + C_energy + C_maint + C_operator + C_insurance + C_integration. Each component defined in Section 4.</w:t>
            </w:r>
          </w:p>
        </w:tc>
      </w:tr>
      <w:tr>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ourier New" w:cs="Courier New" w:eastAsia="Courier New" w:hAnsi="Courier New"/>
                <w:sz w:val="20"/>
                <w:szCs w:val="20"/>
              </w:rPr>
              <w:t xml:space="preserve">MRS</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MARS Risk Score</w:t>
            </w:r>
          </w:p>
        </w:tc>
        <w:tc>
          <w:tcPr>
            <w:tcW w:type="dxa" w:w="5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Composite insurance underwriting input. Formula defined in Section 6. Range 0.0-1.0. Higher = lower risk.</w:t>
            </w:r>
          </w:p>
        </w:tc>
      </w:tr>
    </w:tbl>
    <w:p>
      <w:r>
        <w:br w:type="page"/>
      </w:r>
    </w:p>
    <w:p>
      <w:pPr>
        <w:pStyle w:val="Heading1"/>
        <w:pBdr>
          <w:bottom w:val="single" w:color="2E75B6" w:sz="6" w:space="1"/>
        </w:pBdr>
        <w:spacing w:before="400" w:after="160"/>
      </w:pPr>
      <w:r>
        <w:rPr>
          <w:rFonts w:ascii="Arial" w:cs="Arial" w:eastAsia="Arial" w:hAnsi="Arial"/>
          <w:b/>
          <w:bCs/>
          <w:color w:val="1B3A6B"/>
          <w:sz w:val="36"/>
          <w:szCs w:val="36"/>
        </w:rPr>
        <w:t xml:space="preserve">3. The AM-ROI Formula</w:t>
      </w:r>
    </w:p>
    <w:p>
      <w:pPr>
        <w:pStyle w:val="Heading2"/>
        <w:spacing w:before="280" w:after="120"/>
      </w:pPr>
      <w:r>
        <w:rPr>
          <w:rFonts w:ascii="Arial" w:cs="Arial" w:eastAsia="Arial" w:hAnsi="Arial"/>
          <w:b/>
          <w:bCs/>
          <w:color w:val="1B3A6B"/>
          <w:sz w:val="28"/>
          <w:szCs w:val="28"/>
        </w:rPr>
        <w:t xml:space="preserve">3.1 Master Formula</w:t>
      </w:r>
    </w:p>
    <w:p>
      <w:pPr>
        <w:spacing w:before="80" w:after="120"/>
        <w:jc w:val="both"/>
      </w:pPr>
      <w:r>
        <w:rPr>
          <w:rFonts w:ascii="Arial" w:cs="Arial" w:eastAsia="Arial" w:hAnsi="Arial"/>
          <w:sz w:val="22"/>
          <w:szCs w:val="22"/>
        </w:rPr>
        <w:t xml:space="preserve">The Autonomous Machine ROI (AM-ROI) is the canonical MARS performance metric. It expresses the economic return generated by a robot relative to its full cost of ownership, normalised against human labour as the baseline comparison.</w:t>
      </w:r>
    </w:p>
    <w:p>
      <w:pPr>
        <w:pBdr>
          <w:left w:val="single" w:color="2E75B6" w:sz="12" w:space="4"/>
        </w:pBdr>
        <w:shd w:fill="E8EFF8" w:val="clear"/>
        <w:spacing w:before="240" w:after="80"/>
        <w:ind w:left="720" w:right="720"/>
        <w:jc w:val="center"/>
      </w:pPr>
      <w:r>
        <w:rPr>
          <w:rFonts w:ascii="Courier New" w:cs="Courier New" w:eastAsia="Courier New" w:hAnsi="Courier New"/>
          <w:sz w:val="20"/>
          <w:szCs w:val="20"/>
        </w:rPr>
        <w:t xml:space="preserve">AM-ROI  =  [ (R + HLE x DF) x TSR x AS ]  /  TCO_annual</w:t>
      </w:r>
    </w:p>
    <w:p>
      <w:pPr>
        <w:spacing w:before="80" w:after="240"/>
        <w:jc w:val="center"/>
      </w:pPr>
      <w:r>
        <w:rPr>
          <w:rFonts w:ascii="Arial" w:cs="Arial" w:eastAsia="Arial" w:hAnsi="Arial"/>
          <w:i/>
          <w:iCs/>
          <w:color w:val="555555"/>
          <w:sz w:val="20"/>
          <w:szCs w:val="20"/>
        </w:rPr>
        <w:t xml:space="preserve">Where TCO_annual = (P/L) + C_energy + C_maint + C_operator + C_insurance + C_integration</w:t>
      </w:r>
    </w:p>
    <w:p>
      <w:pPr>
        <w:pStyle w:val="Heading2"/>
        <w:spacing w:before="280" w:after="120"/>
      </w:pPr>
      <w:r>
        <w:rPr>
          <w:rFonts w:ascii="Arial" w:cs="Arial" w:eastAsia="Arial" w:hAnsi="Arial"/>
          <w:b/>
          <w:bCs/>
          <w:color w:val="1B3A6B"/>
          <w:sz w:val="28"/>
          <w:szCs w:val="28"/>
        </w:rPr>
        <w:t xml:space="preserve">3.2 Interpreting the Result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2200"/>
        <w:gridCol w:w="5360"/>
      </w:tblGrid>
      <w:tr>
        <w:tc>
          <w:tcPr>
            <w:tcW w:type="dxa" w:w="1800"/>
            <w:tcBorders>
              <w:top w:val="single" w:color="2E75B6" w:sz="1"/>
              <w:left w:val="single" w:color="2E75B6" w:sz="1"/>
              <w:bottom w:val="single" w:color="2E75B6" w:sz="1"/>
              <w:right w:val="single" w:color="2E75B6"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AM-ROI Value</w:t>
            </w:r>
          </w:p>
        </w:tc>
        <w:tc>
          <w:tcPr>
            <w:tcW w:type="dxa" w:w="2200"/>
            <w:tcBorders>
              <w:top w:val="single" w:color="2E75B6" w:sz="1"/>
              <w:left w:val="single" w:color="2E75B6" w:sz="1"/>
              <w:bottom w:val="single" w:color="2E75B6" w:sz="1"/>
              <w:right w:val="single" w:color="2E75B6"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Economic Meaning</w:t>
            </w:r>
          </w:p>
        </w:tc>
        <w:tc>
          <w:tcPr>
            <w:tcW w:type="dxa" w:w="5360"/>
            <w:tcBorders>
              <w:top w:val="single" w:color="2E75B6" w:sz="1"/>
              <w:left w:val="single" w:color="2E75B6" w:sz="1"/>
              <w:bottom w:val="single" w:color="2E75B6" w:sz="1"/>
              <w:right w:val="single" w:color="2E75B6"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Operational Implication</w:t>
            </w:r>
          </w:p>
        </w:tc>
      </w:tr>
      <w:tr>
        <w:tc>
          <w:tcPr>
            <w:tcW w:type="dxa" w:w="1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1B3A6B"/>
                <w:sz w:val="20"/>
                <w:szCs w:val="20"/>
              </w:rPr>
              <w:t xml:space="preserve">&lt; 1.0</w:t>
            </w:r>
          </w:p>
        </w:tc>
        <w:tc>
          <w:tcPr>
            <w:tcW w:type="dxa" w:w="2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Below break-even</w:t>
            </w:r>
          </w:p>
        </w:tc>
        <w:tc>
          <w:tcPr>
            <w:tcW w:type="dxa" w:w="5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Robot costs more per year than the human labour it displaces. Normal in Year 1 for current-generation humanoids as TSR and AS are still maturing. Not necessarily a failure — trajectory matters.</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B3A6B"/>
                <w:sz w:val="20"/>
                <w:szCs w:val="20"/>
              </w:rPr>
              <w:t xml:space="preserve">1.0</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Parity</w:t>
            </w:r>
          </w:p>
        </w:tc>
        <w:tc>
          <w:tcPr>
            <w:tcW w:type="dxa" w:w="5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Robot costs exactly as much as equivalent human labour. No economic gain yet, but automation benefits (consistency, safety, scalability) may still justify deployment.</w:t>
            </w:r>
          </w:p>
        </w:tc>
      </w:tr>
      <w:tr>
        <w:tc>
          <w:tcPr>
            <w:tcW w:type="dxa" w:w="1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1B3A6B"/>
                <w:sz w:val="20"/>
                <w:szCs w:val="20"/>
              </w:rPr>
              <w:t xml:space="preserve">1.0 - 1.4</w:t>
            </w:r>
          </w:p>
        </w:tc>
        <w:tc>
          <w:tcPr>
            <w:tcW w:type="dxa" w:w="2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Marginal positive</w:t>
            </w:r>
          </w:p>
        </w:tc>
        <w:tc>
          <w:tcPr>
            <w:tcW w:type="dxa" w:w="5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Robot generating modest return above labour baseline. Acceptable for Year 2 deployments with improving trajectory.</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B3A6B"/>
                <w:sz w:val="20"/>
                <w:szCs w:val="20"/>
              </w:rPr>
              <w:t xml:space="preserve">&gt;= 1.4</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Production threshold</w:t>
            </w:r>
          </w:p>
        </w:tc>
        <w:tc>
          <w:tcPr>
            <w:tcW w:type="dxa" w:w="5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MARS minimum target for scaled deployment decisions. Robot delivering meaningful economic return. Standard insurance rates apply.</w:t>
            </w:r>
          </w:p>
        </w:tc>
      </w:tr>
      <w:tr>
        <w:tc>
          <w:tcPr>
            <w:tcW w:type="dxa" w:w="1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1B3A6B"/>
                <w:sz w:val="20"/>
                <w:szCs w:val="20"/>
              </w:rPr>
              <w:t xml:space="preserve">&gt;= 2.0</w:t>
            </w:r>
          </w:p>
        </w:tc>
        <w:tc>
          <w:tcPr>
            <w:tcW w:type="dxa" w:w="2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Strong ROI</w:t>
            </w:r>
          </w:p>
        </w:tc>
        <w:tc>
          <w:tcPr>
            <w:tcW w:type="dxa" w:w="5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Robot significantly outperforming human labour baseline. Typical for well-deployed cobots and AMRs in Year 3+.</w:t>
            </w:r>
          </w:p>
        </w:tc>
      </w:tr>
    </w:tbl>
    <w:p>
      <w:pPr>
        <w:pStyle w:val="Heading2"/>
        <w:spacing w:before="280" w:after="120"/>
      </w:pPr>
      <w:r>
        <w:rPr>
          <w:rFonts w:ascii="Arial" w:cs="Arial" w:eastAsia="Arial" w:hAnsi="Arial"/>
          <w:b/>
          <w:bCs/>
          <w:color w:val="1B3A6B"/>
          <w:sz w:val="28"/>
          <w:szCs w:val="28"/>
        </w:rPr>
        <w:t xml:space="preserve">3.3 TCO Component Breakdown</w:t>
      </w:r>
    </w:p>
    <w:p>
      <w:pPr>
        <w:spacing w:before="80" w:after="120"/>
        <w:jc w:val="both"/>
      </w:pPr>
      <w:r>
        <w:rPr>
          <w:rFonts w:ascii="Arial" w:cs="Arial" w:eastAsia="Arial" w:hAnsi="Arial"/>
          <w:sz w:val="22"/>
          <w:szCs w:val="22"/>
        </w:rPr>
        <w:t xml:space="preserve">Every cost component must be included for the AM-ROI to be meaningful. Omitting components inflates ROI and produces misleading comparisons.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400"/>
        <w:gridCol w:w="4760"/>
      </w:tblGrid>
      <w:tr>
        <w:tc>
          <w:tcPr>
            <w:tcW w:type="dxa" w:w="2200"/>
            <w:tcBorders>
              <w:top w:val="single" w:color="2E75B6" w:sz="1"/>
              <w:left w:val="single" w:color="2E75B6" w:sz="1"/>
              <w:bottom w:val="single" w:color="2E75B6" w:sz="1"/>
              <w:right w:val="single" w:color="2E75B6"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Component</w:t>
            </w:r>
          </w:p>
        </w:tc>
        <w:tc>
          <w:tcPr>
            <w:tcW w:type="dxa" w:w="2400"/>
            <w:tcBorders>
              <w:top w:val="single" w:color="2E75B6" w:sz="1"/>
              <w:left w:val="single" w:color="2E75B6" w:sz="1"/>
              <w:bottom w:val="single" w:color="2E75B6" w:sz="1"/>
              <w:right w:val="single" w:color="2E75B6"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Formula</w:t>
            </w:r>
          </w:p>
        </w:tc>
        <w:tc>
          <w:tcPr>
            <w:tcW w:type="dxa" w:w="4760"/>
            <w:tcBorders>
              <w:top w:val="single" w:color="2E75B6" w:sz="1"/>
              <w:left w:val="single" w:color="2E75B6" w:sz="1"/>
              <w:bottom w:val="single" w:color="2E75B6" w:sz="1"/>
              <w:right w:val="single" w:color="2E75B6"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Typical Range (2026 Market)</w:t>
            </w:r>
          </w:p>
        </w:tc>
      </w:tr>
      <w:tr>
        <w:tc>
          <w:tcPr>
            <w:tcW w:type="dxa" w:w="2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Capital (P/L)</w:t>
            </w:r>
          </w:p>
        </w:tc>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ourier New" w:cs="Courier New" w:eastAsia="Courier New" w:hAnsi="Courier New"/>
                <w:sz w:val="20"/>
                <w:szCs w:val="20"/>
              </w:rPr>
              <w:t xml:space="preserve">Purchase price / lifespan years</w:t>
            </w:r>
          </w:p>
        </w:tc>
        <w:tc>
          <w:tcPr>
            <w:tcW w:type="dxa" w:w="47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$15,000-$35,000/yr for $150K-$200K humanoid over 5-7 yr lifespan</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Energy (C_energy)</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ourier New" w:cs="Courier New" w:eastAsia="Courier New" w:hAnsi="Courier New"/>
                <w:sz w:val="20"/>
                <w:szCs w:val="20"/>
              </w:rPr>
              <w:t xml:space="preserve">kWh_annual x local_rate</w:t>
            </w:r>
          </w:p>
        </w:tc>
        <w:tc>
          <w:tcPr>
            <w:tcW w:type="dxa" w:w="4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$800-$2,500/yr for humanoid on 10hr daily shift</w:t>
            </w:r>
          </w:p>
        </w:tc>
      </w:tr>
      <w:tr>
        <w:tc>
          <w:tcPr>
            <w:tcW w:type="dxa" w:w="2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Maintenance (C_maint)</w:t>
            </w:r>
          </w:p>
        </w:tc>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ourier New" w:cs="Courier New" w:eastAsia="Courier New" w:hAnsi="Courier New"/>
                <w:sz w:val="20"/>
                <w:szCs w:val="20"/>
              </w:rPr>
              <w:t xml:space="preserve">P x maintenance_rate</w:t>
            </w:r>
          </w:p>
        </w:tc>
        <w:tc>
          <w:tcPr>
            <w:tcW w:type="dxa" w:w="47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$8,000-$22,500/yr (8-15% of P annually for humanoids)</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Operator (C_operator)</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ourier New" w:cs="Courier New" w:eastAsia="Courier New" w:hAnsi="Courier New"/>
                <w:sz w:val="20"/>
                <w:szCs w:val="20"/>
              </w:rPr>
              <w:t xml:space="preserve">Fleet manager cost / robots managed</w:t>
            </w:r>
          </w:p>
        </w:tc>
        <w:tc>
          <w:tcPr>
            <w:tcW w:type="dxa" w:w="4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$3,000-$12,000/yr (ratio 1:10 to 1:250 robots per manager)</w:t>
            </w:r>
          </w:p>
        </w:tc>
      </w:tr>
      <w:tr>
        <w:tc>
          <w:tcPr>
            <w:tcW w:type="dxa" w:w="2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Insurance (C_insurance)</w:t>
            </w:r>
          </w:p>
        </w:tc>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ourier New" w:cs="Courier New" w:eastAsia="Courier New" w:hAnsi="Courier New"/>
                <w:sz w:val="20"/>
                <w:szCs w:val="20"/>
              </w:rPr>
              <w:t xml:space="preserve">P x insurance_rate</w:t>
            </w:r>
          </w:p>
        </w:tc>
        <w:tc>
          <w:tcPr>
            <w:tcW w:type="dxa" w:w="47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$1,500-$5,250/yr (1-3.5% of P — emerging market, wide variance)</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Integration (C_integration)</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ourier New" w:cs="Courier New" w:eastAsia="Courier New" w:hAnsi="Courier New"/>
                <w:sz w:val="20"/>
                <w:szCs w:val="20"/>
              </w:rPr>
              <w:t xml:space="preserve">Platform + SDK annual cost / robots</w:t>
            </w:r>
          </w:p>
        </w:tc>
        <w:tc>
          <w:tcPr>
            <w:tcW w:type="dxa" w:w="4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$3,000-$15,000/yr (RobOps platform + MARS integration)</w:t>
            </w:r>
          </w:p>
        </w:tc>
      </w:tr>
    </w:tbl>
    <w:p>
      <w:pPr>
        <w:shd w:fill="FFF3CD" w:val="clear"/>
        <w:spacing w:before="100" w:after="100"/>
      </w:pPr>
      <w:r>
        <w:rPr>
          <w:rFonts w:ascii="Arial" w:cs="Arial" w:eastAsia="Arial" w:hAnsi="Arial"/>
          <w:b/>
          <w:bCs/>
          <w:color w:val="856404"/>
          <w:sz w:val="20"/>
          <w:szCs w:val="20"/>
        </w:rPr>
        <w:t xml:space="preserve">NOTE: </w:t>
      </w:r>
      <w:r>
        <w:rPr>
          <w:rFonts w:ascii="Arial" w:cs="Arial" w:eastAsia="Arial" w:hAnsi="Arial"/>
          <w:i/>
          <w:iCs/>
          <w:sz w:val="20"/>
          <w:szCs w:val="20"/>
        </w:rPr>
        <w:t xml:space="preserve">All cost ranges above are informed estimates based on publicly available market data as of early 2026. No large-scale published cost studies for humanoid robot deployments exist yet. These figures should be replaced with operator actuals wherever available.</w:t>
      </w:r>
    </w:p>
    <w:p>
      <w:r>
        <w:br w:type="page"/>
      </w:r>
    </w:p>
    <w:p>
      <w:pPr>
        <w:pStyle w:val="Heading1"/>
        <w:pBdr>
          <w:bottom w:val="single" w:color="2E75B6" w:sz="6" w:space="1"/>
        </w:pBdr>
        <w:spacing w:before="400" w:after="160"/>
      </w:pPr>
      <w:r>
        <w:rPr>
          <w:rFonts w:ascii="Arial" w:cs="Arial" w:eastAsia="Arial" w:hAnsi="Arial"/>
          <w:b/>
          <w:bCs/>
          <w:color w:val="1B3A6B"/>
          <w:sz w:val="36"/>
          <w:szCs w:val="36"/>
        </w:rPr>
        <w:t xml:space="preserve">4. Worked Examples</w:t>
      </w:r>
    </w:p>
    <w:p>
      <w:pPr>
        <w:pStyle w:val="Heading2"/>
        <w:spacing w:before="280" w:after="120"/>
      </w:pPr>
      <w:r>
        <w:rPr>
          <w:rFonts w:ascii="Arial" w:cs="Arial" w:eastAsia="Arial" w:hAnsi="Arial"/>
          <w:b/>
          <w:bCs/>
          <w:color w:val="1B3A6B"/>
          <w:sz w:val="28"/>
          <w:szCs w:val="28"/>
        </w:rPr>
        <w:t xml:space="preserve">4.1 Example A — Agility Digit at Toyota TMMC (Canada)</w:t>
      </w:r>
    </w:p>
    <w:p>
      <w:pPr>
        <w:pStyle w:val="Heading3"/>
        <w:spacing w:before="200" w:after="80"/>
      </w:pPr>
      <w:r>
        <w:rPr>
          <w:rFonts w:ascii="Arial" w:cs="Arial" w:eastAsia="Arial" w:hAnsi="Arial"/>
          <w:b/>
          <w:bCs/>
          <w:color w:val="2E75B6"/>
          <w:sz w:val="24"/>
          <w:szCs w:val="24"/>
        </w:rPr>
        <w:t xml:space="preserve">Background</w:t>
      </w:r>
    </w:p>
    <w:p>
      <w:pPr>
        <w:spacing w:before="80" w:after="120"/>
        <w:jc w:val="both"/>
      </w:pPr>
      <w:r>
        <w:rPr>
          <w:rFonts w:ascii="Arial" w:cs="Arial" w:eastAsia="Arial" w:hAnsi="Arial"/>
          <w:sz w:val="22"/>
          <w:szCs w:val="22"/>
        </w:rPr>
        <w:t xml:space="preserve">On February 19, 2026, Agility Robotics and Toyota Motor Manufacturing Canada (TMMC) announced a commercial Robot-as-a-Service agreement, the first confirmed large-scale humanoid RaaS deployment in North America. Digit handles parts bin movement and conveyor loading on a 10-hour daily shift, 250 operating days per year.</w:t>
      </w:r>
    </w:p>
    <w:p>
      <w:pPr>
        <w:spacing w:before="80" w:after="120"/>
        <w:jc w:val="both"/>
      </w:pPr>
      <w:r>
        <w:rPr>
          <w:rFonts w:ascii="Arial" w:cs="Arial" w:eastAsia="Arial" w:hAnsi="Arial"/>
          <w:sz w:val="22"/>
          <w:szCs w:val="22"/>
        </w:rPr>
        <w:t xml:space="preserve">This example models Year 1 performance at conservative but realistic parameters, then projects the trajectory to break-even.</w:t>
      </w:r>
    </w:p>
    <w:p>
      <w:pPr>
        <w:pStyle w:val="Heading3"/>
        <w:spacing w:before="200" w:after="80"/>
      </w:pPr>
      <w:r>
        <w:rPr>
          <w:rFonts w:ascii="Arial" w:cs="Arial" w:eastAsia="Arial" w:hAnsi="Arial"/>
          <w:b/>
          <w:bCs/>
          <w:color w:val="2E75B6"/>
          <w:sz w:val="24"/>
          <w:szCs w:val="24"/>
        </w:rPr>
        <w:t xml:space="preserve">Inputs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2360"/>
        <w:gridCol w:w="3800"/>
      </w:tblGrid>
      <w:tr>
        <w:tc>
          <w:tcPr>
            <w:tcW w:type="dxa" w:w="3200"/>
            <w:tcBorders>
              <w:top w:val="single" w:color="2E75B6" w:sz="1"/>
              <w:left w:val="single" w:color="2E75B6" w:sz="1"/>
              <w:bottom w:val="single" w:color="2E75B6" w:sz="1"/>
              <w:right w:val="single" w:color="2E75B6"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Input</w:t>
            </w:r>
          </w:p>
        </w:tc>
        <w:tc>
          <w:tcPr>
            <w:tcW w:type="dxa" w:w="2360"/>
            <w:tcBorders>
              <w:top w:val="single" w:color="2E75B6" w:sz="1"/>
              <w:left w:val="single" w:color="2E75B6" w:sz="1"/>
              <w:bottom w:val="single" w:color="2E75B6" w:sz="1"/>
              <w:right w:val="single" w:color="2E75B6"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Value</w:t>
            </w:r>
          </w:p>
        </w:tc>
        <w:tc>
          <w:tcPr>
            <w:tcW w:type="dxa" w:w="3800"/>
            <w:tcBorders>
              <w:top w:val="single" w:color="2E75B6" w:sz="1"/>
              <w:left w:val="single" w:color="2E75B6" w:sz="1"/>
              <w:bottom w:val="single" w:color="2E75B6" w:sz="1"/>
              <w:right w:val="single" w:color="2E75B6"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Source / Basis</w:t>
            </w:r>
          </w:p>
        </w:tc>
      </w:tr>
      <w:tr>
        <w:tc>
          <w:tcPr>
            <w:tcW w:type="dxa" w:w="3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Purchase price (P)</w:t>
            </w:r>
          </w:p>
        </w:tc>
        <w:tc>
          <w:tcPr>
            <w:tcW w:type="dxa" w:w="2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1B3A6B"/>
                <w:sz w:val="20"/>
                <w:szCs w:val="20"/>
              </w:rPr>
              <w:t xml:space="preserve">C$150,000</w:t>
            </w:r>
          </w:p>
        </w:tc>
        <w:tc>
          <w:tcPr>
            <w:tcW w:type="dxa" w:w="3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Forbes estimate based on CEO payback comments</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Expected lifespan (L)</w:t>
            </w:r>
          </w:p>
        </w:tc>
        <w:tc>
          <w:tcPr>
            <w:tcW w:type="dxa" w:w="2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B3A6B"/>
                <w:sz w:val="20"/>
                <w:szCs w:val="20"/>
              </w:rPr>
              <w:t xml:space="preserve">5 years</w:t>
            </w:r>
          </w:p>
        </w:tc>
        <w:tc>
          <w:tcPr>
            <w:tcW w:type="dxa" w:w="3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Conservative for current-generation humanoid</w:t>
            </w:r>
          </w:p>
        </w:tc>
      </w:tr>
      <w:tr>
        <w:tc>
          <w:tcPr>
            <w:tcW w:type="dxa" w:w="3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Operating hours (H_op)</w:t>
            </w:r>
          </w:p>
        </w:tc>
        <w:tc>
          <w:tcPr>
            <w:tcW w:type="dxa" w:w="2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1B3A6B"/>
                <w:sz w:val="20"/>
                <w:szCs w:val="20"/>
              </w:rPr>
              <w:t xml:space="preserve">2,500 hrs/yr</w:t>
            </w:r>
          </w:p>
        </w:tc>
        <w:tc>
          <w:tcPr>
            <w:tcW w:type="dxa" w:w="3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10hr shift x 250 days</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Autonomy Score (AS) — Yr 1</w:t>
            </w:r>
          </w:p>
        </w:tc>
        <w:tc>
          <w:tcPr>
            <w:tcW w:type="dxa" w:w="2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B3A6B"/>
                <w:sz w:val="20"/>
                <w:szCs w:val="20"/>
              </w:rPr>
              <w:t xml:space="preserve">0.90</w:t>
            </w:r>
          </w:p>
        </w:tc>
        <w:tc>
          <w:tcPr>
            <w:tcW w:type="dxa" w:w="3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MARS automotive logistics benchmark, Year 1</w:t>
            </w:r>
          </w:p>
        </w:tc>
      </w:tr>
      <w:tr>
        <w:tc>
          <w:tcPr>
            <w:tcW w:type="dxa" w:w="3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Task Success Ratio (TSR) — Yr 1</w:t>
            </w:r>
          </w:p>
        </w:tc>
        <w:tc>
          <w:tcPr>
            <w:tcW w:type="dxa" w:w="2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1B3A6B"/>
                <w:sz w:val="20"/>
                <w:szCs w:val="20"/>
              </w:rPr>
              <w:t xml:space="preserve">0.88</w:t>
            </w:r>
          </w:p>
        </w:tc>
        <w:tc>
          <w:tcPr>
            <w:tcW w:type="dxa" w:w="3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MARS automotive logistics benchmark, Year 1</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Displacement Factor (DF)</w:t>
            </w:r>
          </w:p>
        </w:tc>
        <w:tc>
          <w:tcPr>
            <w:tcW w:type="dxa" w:w="2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B3A6B"/>
                <w:sz w:val="20"/>
                <w:szCs w:val="20"/>
              </w:rPr>
              <w:t xml:space="preserve">0.85</w:t>
            </w:r>
          </w:p>
        </w:tc>
        <w:tc>
          <w:tcPr>
            <w:tcW w:type="dxa" w:w="3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Partial — human handles complex exceptions</w:t>
            </w:r>
          </w:p>
        </w:tc>
      </w:tr>
      <w:tr>
        <w:tc>
          <w:tcPr>
            <w:tcW w:type="dxa" w:w="3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Human Labour Equivalent (HLE)</w:t>
            </w:r>
          </w:p>
        </w:tc>
        <w:tc>
          <w:tcPr>
            <w:tcW w:type="dxa" w:w="2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1B3A6B"/>
                <w:sz w:val="20"/>
                <w:szCs w:val="20"/>
              </w:rPr>
              <w:t xml:space="preserve">C$72,000/yr</w:t>
            </w:r>
          </w:p>
        </w:tc>
        <w:tc>
          <w:tcPr>
            <w:tcW w:type="dxa" w:w="3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Canadian manufacturing worker, fully loaded (base C$26/hr x 1.35 x 2,050 hrs)</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Energy cost (C_energy)</w:t>
            </w:r>
          </w:p>
        </w:tc>
        <w:tc>
          <w:tcPr>
            <w:tcW w:type="dxa" w:w="2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B3A6B"/>
                <w:sz w:val="20"/>
                <w:szCs w:val="20"/>
              </w:rPr>
              <w:t xml:space="preserve">C$1,200/yr</w:t>
            </w:r>
          </w:p>
        </w:tc>
        <w:tc>
          <w:tcPr>
            <w:tcW w:type="dxa" w:w="3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2 kWh/shift x 250 days x C$0.12/kWh x 2 charges</w:t>
            </w:r>
          </w:p>
        </w:tc>
      </w:tr>
      <w:tr>
        <w:tc>
          <w:tcPr>
            <w:tcW w:type="dxa" w:w="3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Maintenance (C_maint)</w:t>
            </w:r>
          </w:p>
        </w:tc>
        <w:tc>
          <w:tcPr>
            <w:tcW w:type="dxa" w:w="2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1B3A6B"/>
                <w:sz w:val="20"/>
                <w:szCs w:val="20"/>
              </w:rPr>
              <w:t xml:space="preserve">C$15,000/yr</w:t>
            </w:r>
          </w:p>
        </w:tc>
        <w:tc>
          <w:tcPr>
            <w:tcW w:type="dxa" w:w="3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10% of P annually — Year 1 estimate</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Operator allocation (C_operator)</w:t>
            </w:r>
          </w:p>
        </w:tc>
        <w:tc>
          <w:tcPr>
            <w:tcW w:type="dxa" w:w="2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B3A6B"/>
                <w:sz w:val="20"/>
                <w:szCs w:val="20"/>
              </w:rPr>
              <w:t xml:space="preserve">C$6,000/yr</w:t>
            </w:r>
          </w:p>
        </w:tc>
        <w:tc>
          <w:tcPr>
            <w:tcW w:type="dxa" w:w="3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Fleet manager at 1:25 ratio</w:t>
            </w:r>
          </w:p>
        </w:tc>
      </w:tr>
      <w:tr>
        <w:tc>
          <w:tcPr>
            <w:tcW w:type="dxa" w:w="3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Insurance (C_insurance)</w:t>
            </w:r>
          </w:p>
        </w:tc>
        <w:tc>
          <w:tcPr>
            <w:tcW w:type="dxa" w:w="2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1B3A6B"/>
                <w:sz w:val="20"/>
                <w:szCs w:val="20"/>
              </w:rPr>
              <w:t xml:space="preserve">C$3,000/yr</w:t>
            </w:r>
          </w:p>
        </w:tc>
        <w:tc>
          <w:tcPr>
            <w:tcW w:type="dxa" w:w="3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2% of P — emerging market rate</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Integration (C_integration)</w:t>
            </w:r>
          </w:p>
        </w:tc>
        <w:tc>
          <w:tcPr>
            <w:tcW w:type="dxa" w:w="2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B3A6B"/>
                <w:sz w:val="20"/>
                <w:szCs w:val="20"/>
              </w:rPr>
              <w:t xml:space="preserve">C$5,000/yr</w:t>
            </w:r>
          </w:p>
        </w:tc>
        <w:tc>
          <w:tcPr>
            <w:tcW w:type="dxa" w:w="3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Arc platform + MARS integration</w:t>
            </w:r>
          </w:p>
        </w:tc>
      </w:tr>
    </w:tbl>
    <w:p>
      <w:pPr>
        <w:pStyle w:val="Heading3"/>
        <w:spacing w:before="200" w:after="80"/>
      </w:pPr>
      <w:r>
        <w:rPr>
          <w:rFonts w:ascii="Arial" w:cs="Arial" w:eastAsia="Arial" w:hAnsi="Arial"/>
          <w:b/>
          <w:bCs/>
          <w:color w:val="2E75B6"/>
          <w:sz w:val="24"/>
          <w:szCs w:val="24"/>
        </w:rPr>
        <w:t xml:space="preserve">Calculation — Year 1</w:t>
      </w:r>
    </w:p>
    <w:p>
      <w:pPr>
        <w:shd w:fill="F0F0F0" w:val="clear"/>
        <w:spacing w:before="20" w:after="20"/>
        <w:ind w:left="720"/>
      </w:pPr>
      <w:r>
        <w:rPr>
          <w:rFonts w:ascii="Courier New" w:cs="Courier New" w:eastAsia="Courier New" w:hAnsi="Courier New"/>
          <w:sz w:val="20"/>
          <w:szCs w:val="20"/>
        </w:rPr>
        <w:t xml:space="preserve">TCO_annual = (C$150,000 / 5) + C$1,200 + C$15,000 + C$6,000 + C$3,000 + C$5,000</w:t>
      </w:r>
    </w:p>
    <w:p>
      <w:pPr>
        <w:shd w:fill="F0F0F0" w:val="clear"/>
        <w:spacing w:before="20" w:after="20"/>
        <w:ind w:left="720"/>
      </w:pPr>
      <w:r>
        <w:rPr>
          <w:rFonts w:ascii="Courier New" w:cs="Courier New" w:eastAsia="Courier New" w:hAnsi="Courier New"/>
          <w:sz w:val="20"/>
          <w:szCs w:val="20"/>
        </w:rPr>
        <w:t xml:space="preserve">           = C$30,000 + C$30,200</w:t>
      </w:r>
    </w:p>
    <w:p>
      <w:pPr>
        <w:shd w:fill="F0F0F0" w:val="clear"/>
        <w:spacing w:before="20" w:after="20"/>
        <w:ind w:left="720"/>
      </w:pPr>
      <w:r>
        <w:rPr>
          <w:rFonts w:ascii="Courier New" w:cs="Courier New" w:eastAsia="Courier New" w:hAnsi="Courier New"/>
          <w:sz w:val="20"/>
          <w:szCs w:val="20"/>
        </w:rPr>
        <w:t xml:space="preserve">           = C$60,200 / year</w:t>
      </w:r>
    </w:p>
    <w:p>
      <w:pPr>
        <w:shd w:fill="F0F0F0" w:val="clear"/>
        <w:spacing w:before="20" w:after="20"/>
        <w:ind w:left="720"/>
      </w:pPr>
      <w:r>
        <w:rPr>
          <w:rFonts w:ascii="Courier New" w:cs="Courier New" w:eastAsia="Courier New" w:hAnsi="Courier New"/>
          <w:sz w:val="20"/>
          <w:szCs w:val="20"/>
        </w:rPr>
        <w:t xml:space="preserve"/>
      </w:r>
    </w:p>
    <w:p>
      <w:pPr>
        <w:shd w:fill="F0F0F0" w:val="clear"/>
        <w:spacing w:before="20" w:after="20"/>
        <w:ind w:left="720"/>
      </w:pPr>
      <w:r>
        <w:rPr>
          <w:rFonts w:ascii="Courier New" w:cs="Courier New" w:eastAsia="Courier New" w:hAnsi="Courier New"/>
          <w:sz w:val="20"/>
          <w:szCs w:val="20"/>
        </w:rPr>
        <w:t xml:space="preserve">Net Value  = (R + HLE x DF) x TSR x AS</w:t>
      </w:r>
    </w:p>
    <w:p>
      <w:pPr>
        <w:shd w:fill="F0F0F0" w:val="clear"/>
        <w:spacing w:before="20" w:after="20"/>
        <w:ind w:left="720"/>
      </w:pPr>
      <w:r>
        <w:rPr>
          <w:rFonts w:ascii="Courier New" w:cs="Courier New" w:eastAsia="Courier New" w:hAnsi="Courier New"/>
          <w:sz w:val="20"/>
          <w:szCs w:val="20"/>
        </w:rPr>
        <w:t xml:space="preserve">           = (0 + C$72,000 x 0.85) x 0.88 x 0.90</w:t>
      </w:r>
    </w:p>
    <w:p>
      <w:pPr>
        <w:shd w:fill="F0F0F0" w:val="clear"/>
        <w:spacing w:before="20" w:after="20"/>
        <w:ind w:left="720"/>
      </w:pPr>
      <w:r>
        <w:rPr>
          <w:rFonts w:ascii="Courier New" w:cs="Courier New" w:eastAsia="Courier New" w:hAnsi="Courier New"/>
          <w:sz w:val="20"/>
          <w:szCs w:val="20"/>
        </w:rPr>
        <w:t xml:space="preserve">           = C$61,200 x 0.88 x 0.90</w:t>
      </w:r>
    </w:p>
    <w:p>
      <w:pPr>
        <w:shd w:fill="F0F0F0" w:val="clear"/>
        <w:spacing w:before="20" w:after="20"/>
        <w:ind w:left="720"/>
      </w:pPr>
      <w:r>
        <w:rPr>
          <w:rFonts w:ascii="Courier New" w:cs="Courier New" w:eastAsia="Courier New" w:hAnsi="Courier New"/>
          <w:sz w:val="20"/>
          <w:szCs w:val="20"/>
        </w:rPr>
        <w:t xml:space="preserve">           = C$48,470 / year</w:t>
      </w:r>
    </w:p>
    <w:p>
      <w:pPr>
        <w:shd w:fill="F0F0F0" w:val="clear"/>
        <w:spacing w:before="20" w:after="20"/>
        <w:ind w:left="720"/>
      </w:pPr>
      <w:r>
        <w:rPr>
          <w:rFonts w:ascii="Courier New" w:cs="Courier New" w:eastAsia="Courier New" w:hAnsi="Courier New"/>
          <w:sz w:val="20"/>
          <w:szCs w:val="20"/>
        </w:rPr>
        <w:t xml:space="preserve"/>
      </w:r>
    </w:p>
    <w:p>
      <w:pPr>
        <w:shd w:fill="F0F0F0" w:val="clear"/>
        <w:spacing w:before="20" w:after="20"/>
        <w:ind w:left="720"/>
      </w:pPr>
      <w:r>
        <w:rPr>
          <w:rFonts w:ascii="Courier New" w:cs="Courier New" w:eastAsia="Courier New" w:hAnsi="Courier New"/>
          <w:sz w:val="20"/>
          <w:szCs w:val="20"/>
        </w:rPr>
        <w:t xml:space="preserve">AM-ROI Year 1  = C$48,470 / C$60,200  =  0.80</w:t>
      </w:r>
    </w:p>
    <w:p>
      <w:pPr>
        <w:pStyle w:val="Heading3"/>
        <w:spacing w:before="200" w:after="80"/>
      </w:pPr>
      <w:r>
        <w:rPr>
          <w:rFonts w:ascii="Arial" w:cs="Arial" w:eastAsia="Arial" w:hAnsi="Arial"/>
          <w:b/>
          <w:bCs/>
          <w:color w:val="2E75B6"/>
          <w:sz w:val="24"/>
          <w:szCs w:val="24"/>
        </w:rPr>
        <w:t xml:space="preserve">Trajectory Projection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1500"/>
        <w:gridCol w:w="1500"/>
        <w:gridCol w:w="1500"/>
        <w:gridCol w:w="3360"/>
      </w:tblGrid>
      <w:tr>
        <w:tc>
          <w:tcPr>
            <w:tcW w:type="dxa" w:w="1500"/>
            <w:tcBorders>
              <w:top w:val="single" w:color="2E75B6" w:sz="1"/>
              <w:left w:val="single" w:color="2E75B6" w:sz="1"/>
              <w:bottom w:val="single" w:color="2E75B6" w:sz="1"/>
              <w:right w:val="single" w:color="2E75B6"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Year</w:t>
            </w:r>
          </w:p>
        </w:tc>
        <w:tc>
          <w:tcPr>
            <w:tcW w:type="dxa" w:w="1500"/>
            <w:tcBorders>
              <w:top w:val="single" w:color="2E75B6" w:sz="1"/>
              <w:left w:val="single" w:color="2E75B6" w:sz="1"/>
              <w:bottom w:val="single" w:color="2E75B6" w:sz="1"/>
              <w:right w:val="single" w:color="2E75B6"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TSR</w:t>
            </w:r>
          </w:p>
        </w:tc>
        <w:tc>
          <w:tcPr>
            <w:tcW w:type="dxa" w:w="1500"/>
            <w:tcBorders>
              <w:top w:val="single" w:color="2E75B6" w:sz="1"/>
              <w:left w:val="single" w:color="2E75B6" w:sz="1"/>
              <w:bottom w:val="single" w:color="2E75B6" w:sz="1"/>
              <w:right w:val="single" w:color="2E75B6"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AS</w:t>
            </w:r>
          </w:p>
        </w:tc>
        <w:tc>
          <w:tcPr>
            <w:tcW w:type="dxa" w:w="1500"/>
            <w:tcBorders>
              <w:top w:val="single" w:color="2E75B6" w:sz="1"/>
              <w:left w:val="single" w:color="2E75B6" w:sz="1"/>
              <w:bottom w:val="single" w:color="2E75B6" w:sz="1"/>
              <w:right w:val="single" w:color="2E75B6"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AM-ROI</w:t>
            </w:r>
          </w:p>
        </w:tc>
        <w:tc>
          <w:tcPr>
            <w:tcW w:type="dxa" w:w="3360"/>
            <w:tcBorders>
              <w:top w:val="single" w:color="2E75B6" w:sz="1"/>
              <w:left w:val="single" w:color="2E75B6" w:sz="1"/>
              <w:bottom w:val="single" w:color="2E75B6" w:sz="1"/>
              <w:right w:val="single" w:color="2E75B6"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Notes</w:t>
            </w:r>
          </w:p>
        </w:tc>
      </w:tr>
      <w:tr>
        <w:tc>
          <w:tcPr>
            <w:tcW w:type="dxa" w:w="1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1B3A6B"/>
                <w:sz w:val="20"/>
                <w:szCs w:val="20"/>
              </w:rPr>
              <w:t xml:space="preserve">1</w:t>
            </w:r>
          </w:p>
        </w:tc>
        <w:tc>
          <w:tcPr>
            <w:tcW w:type="dxa" w:w="1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0.88</w:t>
            </w:r>
          </w:p>
        </w:tc>
        <w:tc>
          <w:tcPr>
            <w:tcW w:type="dxa" w:w="1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0.90</w:t>
            </w:r>
          </w:p>
        </w:tc>
        <w:tc>
          <w:tcPr>
            <w:tcW w:type="dxa" w:w="1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1B3A6B"/>
                <w:sz w:val="20"/>
                <w:szCs w:val="20"/>
              </w:rPr>
              <w:t xml:space="preserve">0.80</w:t>
            </w:r>
          </w:p>
        </w:tc>
        <w:tc>
          <w:tcPr>
            <w:tcW w:type="dxa" w:w="3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Below break-even — normal for Year 1 humanoid. Software still maturing.</w:t>
            </w:r>
          </w:p>
        </w:tc>
      </w:tr>
      <w:tr>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B3A6B"/>
                <w:sz w:val="20"/>
                <w:szCs w:val="20"/>
              </w:rPr>
              <w:t xml:space="preserve">2</w:t>
            </w:r>
          </w:p>
        </w:tc>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0.91</w:t>
            </w:r>
          </w:p>
        </w:tc>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0.93</w:t>
            </w:r>
          </w:p>
        </w:tc>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B3A6B"/>
                <w:sz w:val="20"/>
                <w:szCs w:val="20"/>
              </w:rPr>
              <w:t xml:space="preserve">1.08</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Crosses parity. Software updates and operator learning improving performance.</w:t>
            </w:r>
          </w:p>
        </w:tc>
      </w:tr>
      <w:tr>
        <w:tc>
          <w:tcPr>
            <w:tcW w:type="dxa" w:w="1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1B3A6B"/>
                <w:sz w:val="20"/>
                <w:szCs w:val="20"/>
              </w:rPr>
              <w:t xml:space="preserve">3</w:t>
            </w:r>
          </w:p>
        </w:tc>
        <w:tc>
          <w:tcPr>
            <w:tcW w:type="dxa" w:w="1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0.93</w:t>
            </w:r>
          </w:p>
        </w:tc>
        <w:tc>
          <w:tcPr>
            <w:tcW w:type="dxa" w:w="1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0.95</w:t>
            </w:r>
          </w:p>
        </w:tc>
        <w:tc>
          <w:tcPr>
            <w:tcW w:type="dxa" w:w="1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1B3A6B"/>
                <w:sz w:val="20"/>
                <w:szCs w:val="20"/>
              </w:rPr>
              <w:t xml:space="preserve">1.35</w:t>
            </w:r>
          </w:p>
        </w:tc>
        <w:tc>
          <w:tcPr>
            <w:tcW w:type="dxa" w:w="3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Approaching production threshold. Fleet manager efficiency gains kicking in.</w:t>
            </w:r>
          </w:p>
        </w:tc>
      </w:tr>
      <w:tr>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B3A6B"/>
                <w:sz w:val="20"/>
                <w:szCs w:val="20"/>
              </w:rPr>
              <w:t xml:space="preserve">5</w:t>
            </w:r>
          </w:p>
        </w:tc>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0.95</w:t>
            </w:r>
          </w:p>
        </w:tc>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0.96</w:t>
            </w:r>
          </w:p>
        </w:tc>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B3A6B"/>
                <w:sz w:val="20"/>
                <w:szCs w:val="20"/>
              </w:rPr>
              <w:t xml:space="preserve">1.58</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Strong ROI. Maintenance rate may increase — monitor C_maint.</w:t>
            </w:r>
          </w:p>
        </w:tc>
      </w:tr>
    </w:tbl>
    <w:p>
      <w:pPr>
        <w:spacing w:before="80" w:after="120"/>
        <w:jc w:val="both"/>
      </w:pPr>
      <w:r>
        <w:rPr>
          <w:rFonts w:ascii="Arial" w:cs="Arial" w:eastAsia="Arial" w:hAnsi="Arial"/>
          <w:b/>
          <w:bCs/>
          <w:sz w:val="22"/>
          <w:szCs w:val="22"/>
        </w:rPr>
        <w:t xml:space="preserve">Interpretation: </w:t>
      </w:r>
      <w:r>
        <w:rPr>
          <w:rFonts w:ascii="Arial" w:cs="Arial" w:eastAsia="Arial" w:hAnsi="Arial"/>
          <w:sz w:val="22"/>
          <w:szCs w:val="22"/>
        </w:rPr>
        <w:t xml:space="preserve">AM-ROI of 0.80 in Year 1 is below economic break-even but consistent with Agility Robotics CEO Peggy Johnson's public statement that Digit pays for itself in approximately 2 years — which requires TSR improving to ~0.92 and AS to ~0.95, achievable with software updates. MARS makes this improvement trajectory </w:t>
      </w:r>
      <w:r>
        <w:rPr>
          <w:rFonts w:ascii="Arial" w:cs="Arial" w:eastAsia="Arial" w:hAnsi="Arial"/>
          <w:b/>
          <w:bCs/>
          <w:sz w:val="22"/>
          <w:szCs w:val="22"/>
        </w:rPr>
        <w:t xml:space="preserve">trackable and auditable</w:t>
      </w:r>
      <w:r>
        <w:rPr>
          <w:rFonts w:ascii="Arial" w:cs="Arial" w:eastAsia="Arial" w:hAnsi="Arial"/>
          <w:sz w:val="22"/>
          <w:szCs w:val="22"/>
        </w:rPr>
        <w:t xml:space="preserve"> — exactly what insurers need to structure performance-improving coverage terms.</w:t>
      </w:r>
    </w:p>
    <w:p>
      <w:r>
        <w:br w:type="page"/>
      </w:r>
    </w:p>
    <w:p>
      <w:pPr>
        <w:pStyle w:val="Heading2"/>
        <w:spacing w:before="280" w:after="120"/>
      </w:pPr>
      <w:r>
        <w:rPr>
          <w:rFonts w:ascii="Arial" w:cs="Arial" w:eastAsia="Arial" w:hAnsi="Arial"/>
          <w:b/>
          <w:bCs/>
          <w:color w:val="1B3A6B"/>
          <w:sz w:val="28"/>
          <w:szCs w:val="28"/>
        </w:rPr>
        <w:t xml:space="preserve">4.2 Example B — Figure 02 vs Boston Dynamics Atlas (BMW Spartanburg)</w:t>
      </w:r>
    </w:p>
    <w:p>
      <w:pPr>
        <w:pStyle w:val="Heading3"/>
        <w:spacing w:before="200" w:after="80"/>
      </w:pPr>
      <w:r>
        <w:rPr>
          <w:rFonts w:ascii="Arial" w:cs="Arial" w:eastAsia="Arial" w:hAnsi="Arial"/>
          <w:b/>
          <w:bCs/>
          <w:color w:val="2E75B6"/>
          <w:sz w:val="24"/>
          <w:szCs w:val="24"/>
        </w:rPr>
        <w:t xml:space="preserve">Background</w:t>
      </w:r>
    </w:p>
    <w:p>
      <w:pPr>
        <w:spacing w:before="80" w:after="120"/>
        <w:jc w:val="both"/>
      </w:pPr>
      <w:r>
        <w:rPr>
          <w:rFonts w:ascii="Arial" w:cs="Arial" w:eastAsia="Arial" w:hAnsi="Arial"/>
          <w:sz w:val="22"/>
          <w:szCs w:val="22"/>
        </w:rPr>
        <w:t xml:space="preserve">BMW Plant Spartanburg in South Carolina simultaneously deployed both Figure 02 and Boston Dynamics Atlas units on the same precision assembly production line in early 2026. This created the first confirmed head-to-head humanoid comparison in a live production environment.</w:t>
      </w:r>
    </w:p>
    <w:p>
      <w:pPr>
        <w:spacing w:before="80" w:after="120"/>
        <w:jc w:val="both"/>
      </w:pPr>
      <w:r>
        <w:rPr>
          <w:rFonts w:ascii="Arial" w:cs="Arial" w:eastAsia="Arial" w:hAnsi="Arial"/>
          <w:sz w:val="22"/>
          <w:szCs w:val="22"/>
        </w:rPr>
        <w:t xml:space="preserve">Without MARS: a CFO asking 'which robot should we scale?' has no neutral answer. With MARS: the answer is a 30-second dashboard query.</w:t>
      </w:r>
    </w:p>
    <w:p>
      <w:pPr>
        <w:pStyle w:val="Heading3"/>
        <w:spacing w:before="200" w:after="80"/>
      </w:pPr>
      <w:r>
        <w:rPr>
          <w:rFonts w:ascii="Arial" w:cs="Arial" w:eastAsia="Arial" w:hAnsi="Arial"/>
          <w:b/>
          <w:bCs/>
          <w:color w:val="2E75B6"/>
          <w:sz w:val="24"/>
          <w:szCs w:val="24"/>
        </w:rPr>
        <w:t xml:space="preserve">Comparison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3080"/>
        <w:gridCol w:w="3080"/>
      </w:tblGrid>
      <w:tr>
        <w:tc>
          <w:tcPr>
            <w:tcW w:type="dxa" w:w="3200"/>
            <w:tcBorders>
              <w:top w:val="single" w:color="2E75B6" w:sz="1"/>
              <w:left w:val="single" w:color="2E75B6" w:sz="1"/>
              <w:bottom w:val="single" w:color="2E75B6" w:sz="1"/>
              <w:right w:val="single" w:color="2E75B6"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Metric</w:t>
            </w:r>
          </w:p>
        </w:tc>
        <w:tc>
          <w:tcPr>
            <w:tcW w:type="dxa" w:w="3080"/>
            <w:tcBorders>
              <w:top w:val="single" w:color="2E75B6" w:sz="1"/>
              <w:left w:val="single" w:color="2E75B6" w:sz="1"/>
              <w:bottom w:val="single" w:color="2E75B6" w:sz="1"/>
              <w:right w:val="single" w:color="2E75B6"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Figure 02</w:t>
            </w:r>
          </w:p>
        </w:tc>
        <w:tc>
          <w:tcPr>
            <w:tcW w:type="dxa" w:w="3080"/>
            <w:tcBorders>
              <w:top w:val="single" w:color="2E75B6" w:sz="1"/>
              <w:left w:val="single" w:color="2E75B6" w:sz="1"/>
              <w:bottom w:val="single" w:color="2E75B6" w:sz="1"/>
              <w:right w:val="single" w:color="2E75B6"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Atlas Commercial</w:t>
            </w:r>
          </w:p>
        </w:tc>
      </w:tr>
      <w:tr>
        <w:tc>
          <w:tcPr>
            <w:tcW w:type="dxa" w:w="3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Purchase price (P)</w:t>
            </w:r>
          </w:p>
        </w:tc>
        <w:tc>
          <w:tcPr>
            <w:tcW w:type="dxa" w:w="30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1B3A6B"/>
                <w:sz w:val="20"/>
                <w:szCs w:val="20"/>
              </w:rPr>
              <w:t xml:space="preserve">US$175,000</w:t>
            </w:r>
          </w:p>
        </w:tc>
        <w:tc>
          <w:tcPr>
            <w:tcW w:type="dxa" w:w="30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US$200,000</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Expected lifespan (L)</w:t>
            </w:r>
          </w:p>
        </w:tc>
        <w:tc>
          <w:tcPr>
            <w:tcW w:type="dxa" w:w="30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B3A6B"/>
                <w:sz w:val="20"/>
                <w:szCs w:val="20"/>
              </w:rPr>
              <w:t xml:space="preserve">7 years</w:t>
            </w:r>
          </w:p>
        </w:tc>
        <w:tc>
          <w:tcPr>
            <w:tcW w:type="dxa" w:w="30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7 years</w:t>
            </w:r>
          </w:p>
        </w:tc>
      </w:tr>
      <w:tr>
        <w:tc>
          <w:tcPr>
            <w:tcW w:type="dxa" w:w="3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Annual capital cost (P/L)</w:t>
            </w:r>
          </w:p>
        </w:tc>
        <w:tc>
          <w:tcPr>
            <w:tcW w:type="dxa" w:w="30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1B3A6B"/>
                <w:sz w:val="20"/>
                <w:szCs w:val="20"/>
              </w:rPr>
              <w:t xml:space="preserve">US$25,000</w:t>
            </w:r>
          </w:p>
        </w:tc>
        <w:tc>
          <w:tcPr>
            <w:tcW w:type="dxa" w:w="30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US$28,571</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Task Success Ratio (TSR)</w:t>
            </w:r>
          </w:p>
        </w:tc>
        <w:tc>
          <w:tcPr>
            <w:tcW w:type="dxa" w:w="30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B3A6B"/>
                <w:sz w:val="20"/>
                <w:szCs w:val="20"/>
              </w:rPr>
              <w:t xml:space="preserve">0.91</w:t>
            </w:r>
          </w:p>
        </w:tc>
        <w:tc>
          <w:tcPr>
            <w:tcW w:type="dxa" w:w="30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0.89</w:t>
            </w:r>
          </w:p>
        </w:tc>
      </w:tr>
      <w:tr>
        <w:tc>
          <w:tcPr>
            <w:tcW w:type="dxa" w:w="3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Autonomy Score (AS)</w:t>
            </w:r>
          </w:p>
        </w:tc>
        <w:tc>
          <w:tcPr>
            <w:tcW w:type="dxa" w:w="30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1B3A6B"/>
                <w:sz w:val="20"/>
                <w:szCs w:val="20"/>
              </w:rPr>
              <w:t xml:space="preserve">0.92</w:t>
            </w:r>
          </w:p>
        </w:tc>
        <w:tc>
          <w:tcPr>
            <w:tcW w:type="dxa" w:w="30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0.94</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Maintenance rate</w:t>
            </w:r>
          </w:p>
        </w:tc>
        <w:tc>
          <w:tcPr>
            <w:tcW w:type="dxa" w:w="30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B3A6B"/>
                <w:sz w:val="20"/>
                <w:szCs w:val="20"/>
              </w:rPr>
              <w:t xml:space="preserve">10% of P = US$17,500/yr</w:t>
            </w:r>
          </w:p>
        </w:tc>
        <w:tc>
          <w:tcPr>
            <w:tcW w:type="dxa" w:w="30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12% of P = US$24,000/yr</w:t>
            </w:r>
          </w:p>
        </w:tc>
      </w:tr>
      <w:tr>
        <w:tc>
          <w:tcPr>
            <w:tcW w:type="dxa" w:w="3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Energy cost</w:t>
            </w:r>
          </w:p>
        </w:tc>
        <w:tc>
          <w:tcPr>
            <w:tcW w:type="dxa" w:w="30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1B3A6B"/>
                <w:sz w:val="20"/>
                <w:szCs w:val="20"/>
              </w:rPr>
              <w:t xml:space="preserve">US$1,400/yr</w:t>
            </w:r>
          </w:p>
        </w:tc>
        <w:tc>
          <w:tcPr>
            <w:tcW w:type="dxa" w:w="30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US$1,600/yr</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Operator + Insurance + Integration</w:t>
            </w:r>
          </w:p>
        </w:tc>
        <w:tc>
          <w:tcPr>
            <w:tcW w:type="dxa" w:w="30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B3A6B"/>
                <w:sz w:val="20"/>
                <w:szCs w:val="20"/>
              </w:rPr>
              <w:t xml:space="preserve">US$12,000/yr</w:t>
            </w:r>
          </w:p>
        </w:tc>
        <w:tc>
          <w:tcPr>
            <w:tcW w:type="dxa" w:w="30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US$12,000/yr</w:t>
            </w:r>
          </w:p>
        </w:tc>
      </w:tr>
      <w:tr>
        <w:tc>
          <w:tcPr>
            <w:tcW w:type="dxa" w:w="3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TCO Annual</w:t>
            </w:r>
          </w:p>
        </w:tc>
        <w:tc>
          <w:tcPr>
            <w:tcW w:type="dxa" w:w="30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1B3A6B"/>
                <w:sz w:val="20"/>
                <w:szCs w:val="20"/>
              </w:rPr>
              <w:t xml:space="preserve">US$55,900/yr</w:t>
            </w:r>
          </w:p>
        </w:tc>
        <w:tc>
          <w:tcPr>
            <w:tcW w:type="dxa" w:w="30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US$66,171/yr</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HLE displaced (German automotive)</w:t>
            </w:r>
          </w:p>
        </w:tc>
        <w:tc>
          <w:tcPr>
            <w:tcW w:type="dxa" w:w="30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B3A6B"/>
                <w:sz w:val="20"/>
                <w:szCs w:val="20"/>
              </w:rPr>
              <w:t xml:space="preserve">EUR 120,000/yr (~US$130,000)</w:t>
            </w:r>
          </w:p>
        </w:tc>
        <w:tc>
          <w:tcPr>
            <w:tcW w:type="dxa" w:w="30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EUR 120,000/yr (~US$130,000)</w:t>
            </w:r>
          </w:p>
        </w:tc>
      </w:tr>
      <w:tr>
        <w:tc>
          <w:tcPr>
            <w:tcW w:type="dxa" w:w="3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Net Value</w:t>
            </w:r>
          </w:p>
        </w:tc>
        <w:tc>
          <w:tcPr>
            <w:tcW w:type="dxa" w:w="30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1B3A6B"/>
                <w:sz w:val="20"/>
                <w:szCs w:val="20"/>
              </w:rPr>
              <w:t xml:space="preserve">US$100,490/yr</w:t>
            </w:r>
          </w:p>
        </w:tc>
        <w:tc>
          <w:tcPr>
            <w:tcW w:type="dxa" w:w="30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US$100,565/yr</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AM-ROI</w:t>
            </w:r>
          </w:p>
        </w:tc>
        <w:tc>
          <w:tcPr>
            <w:tcW w:type="dxa" w:w="30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B3A6B"/>
                <w:sz w:val="20"/>
                <w:szCs w:val="20"/>
              </w:rPr>
              <w:t xml:space="preserve">1.80</w:t>
            </w:r>
          </w:p>
        </w:tc>
        <w:tc>
          <w:tcPr>
            <w:tcW w:type="dxa" w:w="30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1.52</w:t>
            </w:r>
          </w:p>
        </w:tc>
      </w:tr>
      <w:tr>
        <w:tc>
          <w:tcPr>
            <w:tcW w:type="dxa" w:w="3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Estimated payback period</w:t>
            </w:r>
          </w:p>
        </w:tc>
        <w:tc>
          <w:tcPr>
            <w:tcW w:type="dxa" w:w="30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1B3A6B"/>
                <w:sz w:val="20"/>
                <w:szCs w:val="20"/>
              </w:rPr>
              <w:t xml:space="preserve">2.9 years</w:t>
            </w:r>
          </w:p>
        </w:tc>
        <w:tc>
          <w:tcPr>
            <w:tcW w:type="dxa" w:w="30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3.8 years</w:t>
            </w:r>
          </w:p>
        </w:tc>
      </w:tr>
    </w:tbl>
    <w:p>
      <w:pPr>
        <w:pStyle w:val="Heading3"/>
        <w:spacing w:before="200" w:after="80"/>
      </w:pPr>
      <w:r>
        <w:rPr>
          <w:rFonts w:ascii="Arial" w:cs="Arial" w:eastAsia="Arial" w:hAnsi="Arial"/>
          <w:b/>
          <w:bCs/>
          <w:color w:val="2E75B6"/>
          <w:sz w:val="24"/>
          <w:szCs w:val="24"/>
        </w:rPr>
        <w:t xml:space="preserve">MARS Insight</w:t>
      </w:r>
    </w:p>
    <w:p>
      <w:pPr>
        <w:spacing w:before="80" w:after="120"/>
        <w:jc w:val="both"/>
      </w:pPr>
      <w:r>
        <w:rPr>
          <w:rFonts w:ascii="Arial" w:cs="Arial" w:eastAsia="Arial" w:hAnsi="Arial"/>
          <w:sz w:val="22"/>
          <w:szCs w:val="22"/>
        </w:rPr>
        <w:t xml:space="preserve">Figure 02 delivers </w:t>
      </w:r>
      <w:r>
        <w:rPr>
          <w:rFonts w:ascii="Arial" w:cs="Arial" w:eastAsia="Arial" w:hAnsi="Arial"/>
          <w:b/>
          <w:bCs/>
          <w:color w:val="1B3A6B"/>
          <w:sz w:val="22"/>
          <w:szCs w:val="22"/>
        </w:rPr>
        <w:t xml:space="preserve">18% better AM-ROI</w:t>
      </w:r>
      <w:r>
        <w:rPr>
          <w:rFonts w:ascii="Arial" w:cs="Arial" w:eastAsia="Arial" w:hAnsi="Arial"/>
          <w:sz w:val="22"/>
          <w:szCs w:val="22"/>
        </w:rPr>
        <w:t xml:space="preserve"> than Atlas in this scenario. Performance output is nearly identical — TSR and AS are comparable — but Figure 02 wins decisively on economics because its lower purchase price and lower maintenance rate produce a significantly better TCO.</w:t>
      </w:r>
    </w:p>
    <w:p>
      <w:pPr>
        <w:spacing w:before="80" w:after="120"/>
        <w:jc w:val="both"/>
      </w:pPr>
      <w:r>
        <w:rPr>
          <w:rFonts w:ascii="Arial" w:cs="Arial" w:eastAsia="Arial" w:hAnsi="Arial"/>
          <w:sz w:val="22"/>
          <w:szCs w:val="22"/>
        </w:rPr>
        <w:t xml:space="preserve">The BMW procurement team cannot currently make this calculation because no neutral cross-manufacturer standard exists. MARS makes it a 30-second dashboard query. This intelligence justifies scaled deployment decisions worth hundreds of millions of dollars.</w:t>
      </w:r>
    </w:p>
    <w:p>
      <w:pPr>
        <w:shd w:fill="FFF3CD" w:val="clear"/>
        <w:spacing w:before="100" w:after="100"/>
      </w:pPr>
      <w:r>
        <w:rPr>
          <w:rFonts w:ascii="Arial" w:cs="Arial" w:eastAsia="Arial" w:hAnsi="Arial"/>
          <w:b/>
          <w:bCs/>
          <w:color w:val="856404"/>
          <w:sz w:val="20"/>
          <w:szCs w:val="20"/>
        </w:rPr>
        <w:t xml:space="preserve">NOTE: </w:t>
      </w:r>
      <w:r>
        <w:rPr>
          <w:rFonts w:ascii="Arial" w:cs="Arial" w:eastAsia="Arial" w:hAnsi="Arial"/>
          <w:i/>
          <w:iCs/>
          <w:sz w:val="20"/>
          <w:szCs w:val="20"/>
        </w:rPr>
        <w:t xml:space="preserve">Both purchase prices and performance figures above are estimates based on publicly available information as of early 2026. BMW has not published official performance data for either deployment. These figures are illustrative of MARS methodology, not certified benchmarks.</w:t>
      </w:r>
    </w:p>
    <w:p>
      <w:r>
        <w:br w:type="page"/>
      </w:r>
    </w:p>
    <w:p>
      <w:pPr>
        <w:pStyle w:val="Heading1"/>
        <w:pBdr>
          <w:bottom w:val="single" w:color="2E75B6" w:sz="6" w:space="1"/>
        </w:pBdr>
        <w:spacing w:before="400" w:after="160"/>
      </w:pPr>
      <w:r>
        <w:rPr>
          <w:rFonts w:ascii="Arial" w:cs="Arial" w:eastAsia="Arial" w:hAnsi="Arial"/>
          <w:b/>
          <w:bCs/>
          <w:color w:val="1B3A6B"/>
          <w:sz w:val="36"/>
          <w:szCs w:val="36"/>
        </w:rPr>
        <w:t xml:space="preserve">5. Performance Benchmarks by Deployment Type</w:t>
      </w:r>
    </w:p>
    <w:p>
      <w:pPr>
        <w:spacing w:before="80" w:after="120"/>
        <w:jc w:val="both"/>
      </w:pPr>
      <w:r>
        <w:rPr>
          <w:rFonts w:ascii="Arial" w:cs="Arial" w:eastAsia="Arial" w:hAnsi="Arial"/>
          <w:sz w:val="22"/>
          <w:szCs w:val="22"/>
        </w:rPr>
        <w:t xml:space="preserve">These benchmarks define what 'good' looks like for each deployment environment. They are used in: (1) MTBI normalisation for the MRS formula; (2) deployment-type context for AM-ROI interpretation; (3) RaaS SLA threshold guidance.</w:t>
      </w:r>
    </w:p>
    <w:p>
      <w:pPr>
        <w:shd w:fill="FFF3CD" w:val="clear"/>
        <w:spacing w:before="100" w:after="100"/>
      </w:pPr>
      <w:r>
        <w:rPr>
          <w:rFonts w:ascii="Arial" w:cs="Arial" w:eastAsia="Arial" w:hAnsi="Arial"/>
          <w:b/>
          <w:bCs/>
          <w:color w:val="856404"/>
          <w:sz w:val="20"/>
          <w:szCs w:val="20"/>
        </w:rPr>
        <w:t xml:space="preserve">NOTE: </w:t>
      </w:r>
      <w:r>
        <w:rPr>
          <w:rFonts w:ascii="Arial" w:cs="Arial" w:eastAsia="Arial" w:hAnsi="Arial"/>
          <w:i/>
          <w:iCs/>
          <w:sz w:val="20"/>
          <w:szCs w:val="20"/>
        </w:rPr>
        <w:t xml:space="preserve">All benchmarks below are v0.9 estimates. They are not derived from a published empirical dataset — no such dataset exists for humanoid robots at production scale as of March 2026. They are based on available performance data from early deployments, manufacturer specifications, and analogies to cobot and AMR performance literature. MARS explicitly invites challenge and refinement from the robotics community.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1400"/>
        <w:gridCol w:w="1400"/>
        <w:gridCol w:w="1560"/>
        <w:gridCol w:w="1400"/>
        <w:gridCol w:w="1400"/>
      </w:tblGrid>
      <w:tr>
        <w:tc>
          <w:tcPr>
            <w:tcW w:type="dxa" w:w="2200"/>
            <w:tcBorders>
              <w:top w:val="single" w:color="2E75B6" w:sz="1"/>
              <w:left w:val="single" w:color="2E75B6" w:sz="1"/>
              <w:bottom w:val="single" w:color="2E75B6" w:sz="1"/>
              <w:right w:val="single" w:color="2E75B6"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Deployment Type</w:t>
            </w:r>
          </w:p>
        </w:tc>
        <w:tc>
          <w:tcPr>
            <w:tcW w:type="dxa" w:w="1400"/>
            <w:tcBorders>
              <w:top w:val="single" w:color="2E75B6" w:sz="1"/>
              <w:left w:val="single" w:color="2E75B6" w:sz="1"/>
              <w:bottom w:val="single" w:color="2E75B6" w:sz="1"/>
              <w:right w:val="single" w:color="2E75B6"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TSR Range</w:t>
            </w:r>
          </w:p>
        </w:tc>
        <w:tc>
          <w:tcPr>
            <w:tcW w:type="dxa" w:w="1400"/>
            <w:tcBorders>
              <w:top w:val="single" w:color="2E75B6" w:sz="1"/>
              <w:left w:val="single" w:color="2E75B6" w:sz="1"/>
              <w:bottom w:val="single" w:color="2E75B6" w:sz="1"/>
              <w:right w:val="single" w:color="2E75B6"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AS Range</w:t>
            </w:r>
          </w:p>
        </w:tc>
        <w:tc>
          <w:tcPr>
            <w:tcW w:type="dxa" w:w="1560"/>
            <w:tcBorders>
              <w:top w:val="single" w:color="2E75B6" w:sz="1"/>
              <w:left w:val="single" w:color="2E75B6" w:sz="1"/>
              <w:bottom w:val="single" w:color="2E75B6" w:sz="1"/>
              <w:right w:val="single" w:color="2E75B6"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MTBI Benchmark</w:t>
            </w:r>
          </w:p>
        </w:tc>
        <w:tc>
          <w:tcPr>
            <w:tcW w:type="dxa" w:w="1400"/>
            <w:tcBorders>
              <w:top w:val="single" w:color="2E75B6" w:sz="1"/>
              <w:left w:val="single" w:color="2E75B6" w:sz="1"/>
              <w:bottom w:val="single" w:color="2E75B6" w:sz="1"/>
              <w:right w:val="single" w:color="2E75B6"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Min AM-ROI</w:t>
            </w:r>
          </w:p>
        </w:tc>
        <w:tc>
          <w:tcPr>
            <w:tcW w:type="dxa" w:w="1400"/>
            <w:tcBorders>
              <w:top w:val="single" w:color="2E75B6" w:sz="1"/>
              <w:left w:val="single" w:color="2E75B6" w:sz="1"/>
              <w:bottom w:val="single" w:color="2E75B6" w:sz="1"/>
              <w:right w:val="single" w:color="2E75B6"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Insurance Tier</w:t>
            </w:r>
          </w:p>
        </w:tc>
      </w:tr>
      <w:tr>
        <w:tc>
          <w:tcPr>
            <w:tcW w:type="dxa" w:w="2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Automotive manufacturing</w:t>
            </w:r>
          </w:p>
        </w:tc>
        <w:tc>
          <w:tcPr>
            <w:tcW w:type="dxa" w:w="1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0.88-0.95</w:t>
            </w:r>
          </w:p>
        </w:tc>
        <w:tc>
          <w:tcPr>
            <w:tcW w:type="dxa" w:w="1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0.90-0.97</w:t>
            </w:r>
          </w:p>
        </w:tc>
        <w:tc>
          <w:tcPr>
            <w:tcW w:type="dxa" w:w="1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200+ hrs</w:t>
            </w:r>
          </w:p>
        </w:tc>
        <w:tc>
          <w:tcPr>
            <w:tcW w:type="dxa" w:w="1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1B3A6B"/>
                <w:sz w:val="20"/>
                <w:szCs w:val="20"/>
              </w:rPr>
              <w:t xml:space="preserve">&gt;= 1.8</w:t>
            </w:r>
          </w:p>
        </w:tc>
        <w:tc>
          <w:tcPr>
            <w:tcW w:type="dxa" w:w="1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Standard</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Logistics / warehouse</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0.85-0.93</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0.88-0.95</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150+ hrs</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B3A6B"/>
                <w:sz w:val="20"/>
                <w:szCs w:val="20"/>
              </w:rPr>
              <w:t xml:space="preserve">&gt;= 1.6</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Standard</w:t>
            </w:r>
          </w:p>
        </w:tc>
      </w:tr>
      <w:tr>
        <w:tc>
          <w:tcPr>
            <w:tcW w:type="dxa" w:w="2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Healthcare</w:t>
            </w:r>
          </w:p>
        </w:tc>
        <w:tc>
          <w:tcPr>
            <w:tcW w:type="dxa" w:w="1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0.92-0.98</w:t>
            </w:r>
          </w:p>
        </w:tc>
        <w:tc>
          <w:tcPr>
            <w:tcW w:type="dxa" w:w="1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0.80-0.90</w:t>
            </w:r>
          </w:p>
        </w:tc>
        <w:tc>
          <w:tcPr>
            <w:tcW w:type="dxa" w:w="1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500+ hrs</w:t>
            </w:r>
          </w:p>
        </w:tc>
        <w:tc>
          <w:tcPr>
            <w:tcW w:type="dxa" w:w="1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1B3A6B"/>
                <w:sz w:val="20"/>
                <w:szCs w:val="20"/>
              </w:rPr>
              <w:t xml:space="preserve">&gt;= 1.4</w:t>
            </w:r>
          </w:p>
        </w:tc>
        <w:tc>
          <w:tcPr>
            <w:tcW w:type="dxa" w:w="1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Elevated</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Retail</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0.80-0.90</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0.85-0.92</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100+ hrs</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B3A6B"/>
                <w:sz w:val="20"/>
                <w:szCs w:val="20"/>
              </w:rPr>
              <w:t xml:space="preserve">&gt;= 1.3</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Standard</w:t>
            </w:r>
          </w:p>
        </w:tc>
      </w:tr>
      <w:tr>
        <w:tc>
          <w:tcPr>
            <w:tcW w:type="dxa" w:w="2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Agricultural</w:t>
            </w:r>
          </w:p>
        </w:tc>
        <w:tc>
          <w:tcPr>
            <w:tcW w:type="dxa" w:w="1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0.75-0.88</w:t>
            </w:r>
          </w:p>
        </w:tc>
        <w:tc>
          <w:tcPr>
            <w:tcW w:type="dxa" w:w="1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0.80-0.90</w:t>
            </w:r>
          </w:p>
        </w:tc>
        <w:tc>
          <w:tcPr>
            <w:tcW w:type="dxa" w:w="1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80+ hrs</w:t>
            </w:r>
          </w:p>
        </w:tc>
        <w:tc>
          <w:tcPr>
            <w:tcW w:type="dxa" w:w="1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1B3A6B"/>
                <w:sz w:val="20"/>
                <w:szCs w:val="20"/>
              </w:rPr>
              <w:t xml:space="preserve">&gt;= 1.2</w:t>
            </w:r>
          </w:p>
        </w:tc>
        <w:tc>
          <w:tcPr>
            <w:tcW w:type="dxa" w:w="1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Standard</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Last-mile delivery</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0.82-0.91</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0.88-0.95</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120+ hrs</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B3A6B"/>
                <w:sz w:val="20"/>
                <w:szCs w:val="20"/>
              </w:rPr>
              <w:t xml:space="preserve">&gt;= 1.5</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Elevated</w:t>
            </w:r>
          </w:p>
        </w:tc>
      </w:tr>
      <w:tr>
        <w:tc>
          <w:tcPr>
            <w:tcW w:type="dxa" w:w="2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Construction</w:t>
            </w:r>
          </w:p>
        </w:tc>
        <w:tc>
          <w:tcPr>
            <w:tcW w:type="dxa" w:w="1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0.70-0.85</w:t>
            </w:r>
          </w:p>
        </w:tc>
        <w:tc>
          <w:tcPr>
            <w:tcW w:type="dxa" w:w="1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0.75-0.88</w:t>
            </w:r>
          </w:p>
        </w:tc>
        <w:tc>
          <w:tcPr>
            <w:tcW w:type="dxa" w:w="1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60+ hrs</w:t>
            </w:r>
          </w:p>
        </w:tc>
        <w:tc>
          <w:tcPr>
            <w:tcW w:type="dxa" w:w="1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1B3A6B"/>
                <w:sz w:val="20"/>
                <w:szCs w:val="20"/>
              </w:rPr>
              <w:t xml:space="preserve">&gt;= 1.1</w:t>
            </w:r>
          </w:p>
        </w:tc>
        <w:tc>
          <w:tcPr>
            <w:tcW w:type="dxa" w:w="1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Elevated</w:t>
            </w:r>
          </w:p>
        </w:tc>
      </w:tr>
    </w:tbl>
    <w:p>
      <w:r>
        <w:br w:type="page"/>
      </w:r>
    </w:p>
    <w:p>
      <w:pPr>
        <w:pStyle w:val="Heading1"/>
        <w:pBdr>
          <w:bottom w:val="single" w:color="2E75B6" w:sz="6" w:space="1"/>
        </w:pBdr>
        <w:spacing w:before="400" w:after="160"/>
      </w:pPr>
      <w:r>
        <w:rPr>
          <w:rFonts w:ascii="Arial" w:cs="Arial" w:eastAsia="Arial" w:hAnsi="Arial"/>
          <w:b/>
          <w:bCs/>
          <w:color w:val="1B3A6B"/>
          <w:sz w:val="36"/>
          <w:szCs w:val="36"/>
        </w:rPr>
        <w:t xml:space="preserve">6. Insurance Framework</w:t>
      </w:r>
    </w:p>
    <w:p>
      <w:pPr>
        <w:pStyle w:val="Heading2"/>
        <w:spacing w:before="280" w:after="120"/>
      </w:pPr>
      <w:r>
        <w:rPr>
          <w:rFonts w:ascii="Arial" w:cs="Arial" w:eastAsia="Arial" w:hAnsi="Arial"/>
          <w:b/>
          <w:bCs/>
          <w:color w:val="1B3A6B"/>
          <w:sz w:val="28"/>
          <w:szCs w:val="28"/>
        </w:rPr>
        <w:t xml:space="preserve">6.1 MARS Risk Score (MRS)</w:t>
      </w:r>
    </w:p>
    <w:p>
      <w:pPr>
        <w:spacing w:before="80" w:after="120"/>
        <w:jc w:val="both"/>
      </w:pPr>
      <w:r>
        <w:rPr>
          <w:rFonts w:ascii="Arial" w:cs="Arial" w:eastAsia="Arial" w:hAnsi="Arial"/>
          <w:sz w:val="22"/>
          <w:szCs w:val="22"/>
        </w:rPr>
        <w:t xml:space="preserve">The MARS Risk Score is the canonical insurance underwriting input produced by MARS. It is a single normalised value computed from four weighted performance dimensions, designed as a direct actuarial input for premium calculation.</w:t>
      </w:r>
    </w:p>
    <w:p>
      <w:pPr>
        <w:pBdr>
          <w:left w:val="single" w:color="2E75B6" w:sz="12" w:space="4"/>
        </w:pBdr>
        <w:shd w:fill="E8EFF8" w:val="clear"/>
        <w:spacing w:before="200" w:after="80"/>
        <w:ind w:left="720" w:right="720"/>
        <w:jc w:val="center"/>
      </w:pPr>
      <w:r>
        <w:rPr>
          <w:rFonts w:ascii="Courier New" w:cs="Courier New" w:eastAsia="Courier New" w:hAnsi="Courier New"/>
          <w:sz w:val="20"/>
          <w:szCs w:val="20"/>
        </w:rPr>
        <w:t xml:space="preserve">MRS = (TSR x 0.30) + (AS x 0.25) + (MTBI_norm x 0.20) + (Safety_norm x 0.25)</w:t>
      </w:r>
    </w:p>
    <w:p>
      <w:pPr>
        <w:spacing w:before="80" w:after="40"/>
      </w:pPr>
      <w:r>
        <w:rPr>
          <w:rFonts w:ascii="Arial" w:cs="Arial" w:eastAsia="Arial" w:hAnsi="Arial"/>
          <w:i/>
          <w:iCs/>
          <w:sz w:val="20"/>
          <w:szCs w:val="20"/>
        </w:rPr>
        <w:t xml:space="preserve">Where:</w:t>
      </w:r>
    </w:p>
    <w:p>
      <w:pPr>
        <w:pStyle w:val="ListParagraph"/>
        <w:numPr>
          <w:ilvl w:val="0"/>
          <w:numId w:val="2"/>
        </w:numPr>
        <w:spacing w:before="40" w:after="40"/>
      </w:pPr>
      <w:r>
        <w:rPr>
          <w:rFonts w:ascii="Arial" w:cs="Arial" w:eastAsia="Arial" w:hAnsi="Arial"/>
          <w:sz w:val="22"/>
          <w:szCs w:val="22"/>
        </w:rPr>
        <w:t xml:space="preserve">MTBI_norm = min(MTBI_actual / MTBI_benchmark_for_deployment_type, 1.0) — capped at 1.0 so exceeding benchmark does not inflate score</w:t>
      </w:r>
    </w:p>
    <w:p>
      <w:pPr>
        <w:pStyle w:val="ListParagraph"/>
        <w:numPr>
          <w:ilvl w:val="0"/>
          <w:numId w:val="2"/>
        </w:numPr>
        <w:spacing w:before="40" w:after="40"/>
      </w:pPr>
      <w:r>
        <w:rPr>
          <w:rFonts w:ascii="Arial" w:cs="Arial" w:eastAsia="Arial" w:hAnsi="Arial"/>
          <w:sz w:val="22"/>
          <w:szCs w:val="22"/>
        </w:rPr>
        <w:t xml:space="preserve">Safety_norm = safety_score / 100 — normalises the 0-100 safety_score to the 0.0-1.0 scale required by the formula</w:t>
      </w:r>
    </w:p>
    <w:p>
      <w:pPr>
        <w:pStyle w:val="ListParagraph"/>
        <w:numPr>
          <w:ilvl w:val="0"/>
          <w:numId w:val="2"/>
        </w:numPr>
        <w:spacing w:before="40" w:after="40"/>
      </w:pPr>
      <w:r>
        <w:rPr>
          <w:rFonts w:ascii="Arial" w:cs="Arial" w:eastAsia="Arial" w:hAnsi="Arial"/>
          <w:sz w:val="22"/>
          <w:szCs w:val="22"/>
        </w:rPr>
        <w:t xml:space="preserve">Weights sum to 1.00. v0.9 defaults. Insurers may apply contract-specific weights.</w:t>
      </w:r>
    </w:p>
    <w:p>
      <w:pPr>
        <w:shd w:fill="FFF3CD" w:val="clear"/>
        <w:spacing w:before="100" w:after="100"/>
      </w:pPr>
      <w:r>
        <w:rPr>
          <w:rFonts w:ascii="Arial" w:cs="Arial" w:eastAsia="Arial" w:hAnsi="Arial"/>
          <w:b/>
          <w:bCs/>
          <w:color w:val="856404"/>
          <w:sz w:val="20"/>
          <w:szCs w:val="20"/>
        </w:rPr>
        <w:t xml:space="preserve">NOTE: </w:t>
      </w:r>
      <w:r>
        <w:rPr>
          <w:rFonts w:ascii="Arial" w:cs="Arial" w:eastAsia="Arial" w:hAnsi="Arial"/>
          <w:i/>
          <w:iCs/>
          <w:sz w:val="20"/>
          <w:szCs w:val="20"/>
        </w:rPr>
        <w:t xml:space="preserve">The MRS formula weights (0.30, 0.25, 0.20, 0.25) were constructed based on logical priority — task performance, autonomy quality, incident frequency, and physical safety. They have NOT been validated against actuarial loss data. A qualified actuary should review and adjust weights before use in binding insurance contracts.</w:t>
      </w:r>
    </w:p>
    <w:p>
      <w:pPr>
        <w:pStyle w:val="Heading2"/>
        <w:spacing w:before="280" w:after="120"/>
      </w:pPr>
      <w:r>
        <w:rPr>
          <w:rFonts w:ascii="Arial" w:cs="Arial" w:eastAsia="Arial" w:hAnsi="Arial"/>
          <w:b/>
          <w:bCs/>
          <w:color w:val="1B3A6B"/>
          <w:sz w:val="28"/>
          <w:szCs w:val="28"/>
        </w:rPr>
        <w:t xml:space="preserve">6.2 MRS Premium Tiers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1800"/>
        <w:gridCol w:w="2160"/>
        <w:gridCol w:w="2200"/>
        <w:gridCol w:w="1600"/>
      </w:tblGrid>
      <w:tr>
        <w:tc>
          <w:tcPr>
            <w:tcW w:type="dxa" w:w="1600"/>
            <w:tcBorders>
              <w:top w:val="single" w:color="2E75B6" w:sz="1"/>
              <w:left w:val="single" w:color="2E75B6" w:sz="1"/>
              <w:bottom w:val="single" w:color="2E75B6" w:sz="1"/>
              <w:right w:val="single" w:color="2E75B6"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MRS Range</w:t>
            </w:r>
          </w:p>
        </w:tc>
        <w:tc>
          <w:tcPr>
            <w:tcW w:type="dxa" w:w="1800"/>
            <w:tcBorders>
              <w:top w:val="single" w:color="2E75B6" w:sz="1"/>
              <w:left w:val="single" w:color="2E75B6" w:sz="1"/>
              <w:bottom w:val="single" w:color="2E75B6" w:sz="1"/>
              <w:right w:val="single" w:color="2E75B6"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Risk Class</w:t>
            </w:r>
          </w:p>
        </w:tc>
        <w:tc>
          <w:tcPr>
            <w:tcW w:type="dxa" w:w="2160"/>
            <w:tcBorders>
              <w:top w:val="single" w:color="2E75B6" w:sz="1"/>
              <w:left w:val="single" w:color="2E75B6" w:sz="1"/>
              <w:bottom w:val="single" w:color="2E75B6" w:sz="1"/>
              <w:right w:val="single" w:color="2E75B6"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Annual Premium Rate</w:t>
            </w:r>
          </w:p>
        </w:tc>
        <w:tc>
          <w:tcPr>
            <w:tcW w:type="dxa" w:w="2200"/>
            <w:tcBorders>
              <w:top w:val="single" w:color="2E75B6" w:sz="1"/>
              <w:left w:val="single" w:color="2E75B6" w:sz="1"/>
              <w:bottom w:val="single" w:color="2E75B6" w:sz="1"/>
              <w:right w:val="single" w:color="2E75B6"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Coverage Terms</w:t>
            </w:r>
          </w:p>
        </w:tc>
        <w:tc>
          <w:tcPr>
            <w:tcW w:type="dxa" w:w="1600"/>
            <w:tcBorders>
              <w:top w:val="single" w:color="2E75B6" w:sz="1"/>
              <w:left w:val="single" w:color="2E75B6" w:sz="1"/>
              <w:bottom w:val="single" w:color="2E75B6" w:sz="1"/>
              <w:right w:val="single" w:color="2E75B6"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Data Requirement</w:t>
            </w:r>
          </w:p>
        </w:tc>
      </w:tr>
      <w:tr>
        <w:tc>
          <w:tcPr>
            <w:tcW w:type="dxa" w:w="1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1B3A6B"/>
                <w:sz w:val="20"/>
                <w:szCs w:val="20"/>
              </w:rPr>
              <w:t xml:space="preserve">0.90-1.00</w:t>
            </w:r>
          </w:p>
        </w:tc>
        <w:tc>
          <w:tcPr>
            <w:tcW w:type="dxa" w:w="1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Excellent</w:t>
            </w:r>
          </w:p>
        </w:tc>
        <w:tc>
          <w:tcPr>
            <w:tcW w:type="dxa" w:w="21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0.8-1.2% of P</w:t>
            </w:r>
          </w:p>
        </w:tc>
        <w:tc>
          <w:tcPr>
            <w:tcW w:type="dxa" w:w="2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Full coverage, standard deductible</w:t>
            </w:r>
          </w:p>
        </w:tc>
        <w:tc>
          <w:tcPr>
            <w:tcW w:type="dxa" w:w="1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90 days live data</w:t>
            </w:r>
          </w:p>
        </w:tc>
      </w:tr>
      <w:tr>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B3A6B"/>
                <w:sz w:val="20"/>
                <w:szCs w:val="20"/>
              </w:rPr>
              <w:t xml:space="preserve">0.80-0.89</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Good</w:t>
            </w:r>
          </w:p>
        </w:tc>
        <w:tc>
          <w:tcPr>
            <w:tcW w:type="dxa" w:w="2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1.2-2.0% of P</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Full coverage, moderate deductible</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60 days live data</w:t>
            </w:r>
          </w:p>
        </w:tc>
      </w:tr>
      <w:tr>
        <w:tc>
          <w:tcPr>
            <w:tcW w:type="dxa" w:w="1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1B3A6B"/>
                <w:sz w:val="20"/>
                <w:szCs w:val="20"/>
              </w:rPr>
              <w:t xml:space="preserve">0.70-0.79</w:t>
            </w:r>
          </w:p>
        </w:tc>
        <w:tc>
          <w:tcPr>
            <w:tcW w:type="dxa" w:w="1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Standard</w:t>
            </w:r>
          </w:p>
        </w:tc>
        <w:tc>
          <w:tcPr>
            <w:tcW w:type="dxa" w:w="21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2.0-3.5% of P</w:t>
            </w:r>
          </w:p>
        </w:tc>
        <w:tc>
          <w:tcPr>
            <w:tcW w:type="dxa" w:w="2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Limited coverage, high deductible</w:t>
            </w:r>
          </w:p>
        </w:tc>
        <w:tc>
          <w:tcPr>
            <w:tcW w:type="dxa" w:w="1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30 days live data</w:t>
            </w:r>
          </w:p>
        </w:tc>
      </w:tr>
      <w:tr>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B3A6B"/>
                <w:sz w:val="20"/>
                <w:szCs w:val="20"/>
              </w:rPr>
              <w:t xml:space="preserve">0.60-0.69</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Elevated</w:t>
            </w:r>
          </w:p>
        </w:tc>
        <w:tc>
          <w:tcPr>
            <w:tcW w:type="dxa" w:w="2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3.5-6.0% of P</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Conditional / pilot terms only</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Simulation data accepted</w:t>
            </w:r>
          </w:p>
        </w:tc>
      </w:tr>
      <w:tr>
        <w:tc>
          <w:tcPr>
            <w:tcW w:type="dxa" w:w="1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1B3A6B"/>
                <w:sz w:val="20"/>
                <w:szCs w:val="20"/>
              </w:rPr>
              <w:t xml:space="preserve">&lt; 0.60</w:t>
            </w:r>
          </w:p>
        </w:tc>
        <w:tc>
          <w:tcPr>
            <w:tcW w:type="dxa" w:w="1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Uninsurable</w:t>
            </w:r>
          </w:p>
        </w:tc>
        <w:tc>
          <w:tcPr>
            <w:tcW w:type="dxa" w:w="21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Not eligible</w:t>
            </w:r>
          </w:p>
        </w:tc>
        <w:tc>
          <w:tcPr>
            <w:tcW w:type="dxa" w:w="2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Remediation plan required first</w:t>
            </w:r>
          </w:p>
        </w:tc>
        <w:tc>
          <w:tcPr>
            <w:tcW w:type="dxa" w:w="1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N/A</w:t>
            </w:r>
          </w:p>
        </w:tc>
      </w:tr>
    </w:tbl>
    <w:p>
      <w:pPr>
        <w:spacing w:before="80" w:after="120"/>
        <w:jc w:val="both"/>
      </w:pPr>
      <w:r>
        <w:rPr>
          <w:rFonts w:ascii="Arial" w:cs="Arial" w:eastAsia="Arial" w:hAnsi="Arial"/>
          <w:sz w:val="22"/>
          <w:szCs w:val="22"/>
        </w:rPr>
        <w:t xml:space="preserve">Every 0.10 improvement in MRS reduces annual premium by approximately 0.8-1.2% of purchase price. For a US$175,000 Figure 02, improving MRS from 0.75 to 0.85 saves approximately US$1,400-$2,100 per year in insurance premium. This creates a direct financial incentive for operators to improve robot performance — aligning operator, insurer, and manufacturer interests around a neutral data standard.</w:t>
      </w:r>
    </w:p>
    <w:p>
      <w:pPr>
        <w:pStyle w:val="Heading2"/>
        <w:spacing w:before="280" w:after="120"/>
      </w:pPr>
      <w:r>
        <w:rPr>
          <w:rFonts w:ascii="Arial" w:cs="Arial" w:eastAsia="Arial" w:hAnsi="Arial"/>
          <w:b/>
          <w:bCs/>
          <w:color w:val="1B3A6B"/>
          <w:sz w:val="28"/>
          <w:szCs w:val="28"/>
        </w:rPr>
        <w:t xml:space="preserve">6.3 RaaS Parametric SLA Triggers</w:t>
      </w:r>
    </w:p>
    <w:p>
      <w:pPr>
        <w:spacing w:before="80" w:after="120"/>
        <w:jc w:val="both"/>
      </w:pPr>
      <w:r>
        <w:rPr>
          <w:rFonts w:ascii="Arial" w:cs="Arial" w:eastAsia="Arial" w:hAnsi="Arial"/>
          <w:sz w:val="22"/>
          <w:szCs w:val="22"/>
        </w:rPr>
        <w:t xml:space="preserve">For Robot-as-a-Service deployments, MARS data enables parametric insurance products — coverage that triggers automatically when performance falls below contracted SLA thresholds, without requiring human claims investigation.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000"/>
        <w:gridCol w:w="2560"/>
        <w:gridCol w:w="2400"/>
      </w:tblGrid>
      <w:tr>
        <w:tc>
          <w:tcPr>
            <w:tcW w:type="dxa" w:w="2400"/>
            <w:tcBorders>
              <w:top w:val="single" w:color="2E75B6" w:sz="1"/>
              <w:left w:val="single" w:color="2E75B6" w:sz="1"/>
              <w:bottom w:val="single" w:color="2E75B6" w:sz="1"/>
              <w:right w:val="single" w:color="2E75B6"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Metric</w:t>
            </w:r>
          </w:p>
        </w:tc>
        <w:tc>
          <w:tcPr>
            <w:tcW w:type="dxa" w:w="2000"/>
            <w:tcBorders>
              <w:top w:val="single" w:color="2E75B6" w:sz="1"/>
              <w:left w:val="single" w:color="2E75B6" w:sz="1"/>
              <w:bottom w:val="single" w:color="2E75B6" w:sz="1"/>
              <w:right w:val="single" w:color="2E75B6"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Standard Threshold</w:t>
            </w:r>
          </w:p>
        </w:tc>
        <w:tc>
          <w:tcPr>
            <w:tcW w:type="dxa" w:w="2560"/>
            <w:tcBorders>
              <w:top w:val="single" w:color="2E75B6" w:sz="1"/>
              <w:left w:val="single" w:color="2E75B6" w:sz="1"/>
              <w:bottom w:val="single" w:color="2E75B6" w:sz="1"/>
              <w:right w:val="single" w:color="2E75B6"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Breach Duration</w:t>
            </w:r>
          </w:p>
        </w:tc>
        <w:tc>
          <w:tcPr>
            <w:tcW w:type="dxa" w:w="2400"/>
            <w:tcBorders>
              <w:top w:val="single" w:color="2E75B6" w:sz="1"/>
              <w:left w:val="single" w:color="2E75B6" w:sz="1"/>
              <w:bottom w:val="single" w:color="2E75B6" w:sz="1"/>
              <w:right w:val="single" w:color="2E75B6"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Automatic Trigger</w:t>
            </w:r>
          </w:p>
        </w:tc>
      </w:tr>
      <w:tr>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Task Success Ratio (TSR)</w:t>
            </w:r>
          </w:p>
        </w:tc>
        <w:tc>
          <w:tcPr>
            <w:tcW w:type="dxa" w:w="2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1B3A6B"/>
                <w:sz w:val="20"/>
                <w:szCs w:val="20"/>
              </w:rPr>
              <w:t xml:space="preserve">&lt; 0.85</w:t>
            </w:r>
          </w:p>
        </w:tc>
        <w:tc>
          <w:tcPr>
            <w:tcW w:type="dxa" w:w="2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7 consecutive days</w:t>
            </w:r>
          </w:p>
        </w:tc>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Daily rate credit to operator</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Uptime</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B3A6B"/>
                <w:sz w:val="20"/>
                <w:szCs w:val="20"/>
              </w:rPr>
              <w:t xml:space="preserve">&lt; 0.90 (90%) in rolling 30 days</w:t>
            </w:r>
          </w:p>
        </w:tc>
        <w:tc>
          <w:tcPr>
            <w:tcW w:type="dxa" w:w="2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Any 30-day window</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Pro-rata RaaS fee refund</w:t>
            </w:r>
          </w:p>
        </w:tc>
      </w:tr>
      <w:tr>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Autonomy Score (AS)</w:t>
            </w:r>
          </w:p>
        </w:tc>
        <w:tc>
          <w:tcPr>
            <w:tcW w:type="dxa" w:w="2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1B3A6B"/>
                <w:sz w:val="20"/>
                <w:szCs w:val="20"/>
              </w:rPr>
              <w:t xml:space="preserve">&lt; 0.80 on 14-day rolling avg</w:t>
            </w:r>
          </w:p>
        </w:tc>
        <w:tc>
          <w:tcPr>
            <w:tcW w:type="dxa" w:w="2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14 consecutive days</w:t>
            </w:r>
          </w:p>
        </w:tc>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Labour cost differential coverage</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MTBI</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B3A6B"/>
                <w:sz w:val="20"/>
                <w:szCs w:val="20"/>
              </w:rPr>
              <w:t xml:space="preserve">&lt; 100 hrs on 30-day rolling avg</w:t>
            </w:r>
          </w:p>
        </w:tc>
        <w:tc>
          <w:tcPr>
            <w:tcW w:type="dxa" w:w="2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Any 30-day window</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Enhanced maintenance coverage activates</w:t>
            </w:r>
          </w:p>
        </w:tc>
      </w:tr>
      <w:tr>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Vision accuracy</w:t>
            </w:r>
          </w:p>
        </w:tc>
        <w:tc>
          <w:tcPr>
            <w:tcW w:type="dxa" w:w="2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1B3A6B"/>
                <w:sz w:val="20"/>
                <w:szCs w:val="20"/>
              </w:rPr>
              <w:t xml:space="preserve">&lt; 0.92 on 30-day rolling avg</w:t>
            </w:r>
          </w:p>
        </w:tc>
        <w:tc>
          <w:tcPr>
            <w:tcW w:type="dxa" w:w="2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Any 30-day window</w:t>
            </w:r>
          </w:p>
        </w:tc>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AI performance review clause triggers</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Collision index</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B3A6B"/>
                <w:sz w:val="20"/>
                <w:szCs w:val="20"/>
              </w:rPr>
              <w:t xml:space="preserve">&gt; 2.0 per 100 hrs in 30-day window</w:t>
            </w:r>
          </w:p>
        </w:tc>
        <w:tc>
          <w:tcPr>
            <w:tcW w:type="dxa" w:w="2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Any 30-day window</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Liability coverage enhancement</w:t>
            </w:r>
          </w:p>
        </w:tc>
      </w:tr>
    </w:tbl>
    <w:p>
      <w:pPr>
        <w:shd w:fill="FFF3CD" w:val="clear"/>
        <w:spacing w:before="100" w:after="100"/>
      </w:pPr>
      <w:r>
        <w:rPr>
          <w:rFonts w:ascii="Arial" w:cs="Arial" w:eastAsia="Arial" w:hAnsi="Arial"/>
          <w:b/>
          <w:bCs/>
          <w:color w:val="856404"/>
          <w:sz w:val="20"/>
          <w:szCs w:val="20"/>
        </w:rPr>
        <w:t xml:space="preserve">NOTE: </w:t>
      </w:r>
      <w:r>
        <w:rPr>
          <w:rFonts w:ascii="Arial" w:cs="Arial" w:eastAsia="Arial" w:hAnsi="Arial"/>
          <w:i/>
          <w:iCs/>
          <w:sz w:val="20"/>
          <w:szCs w:val="20"/>
        </w:rPr>
        <w:t xml:space="preserve">Vision accuracy threshold of 0.92 reflects actual achievable performance for current-generation humanoids in structured production environments (controlled lighting, known object sets). In unstructured environments, achievable accuracy drops to 0.75-0.86. SLA contracts must specify the operational conditions under which measurement applies.</w:t>
      </w:r>
    </w:p>
    <w:p>
      <w:r>
        <w:br w:type="page"/>
      </w:r>
    </w:p>
    <w:p>
      <w:pPr>
        <w:pStyle w:val="Heading1"/>
        <w:pBdr>
          <w:bottom w:val="single" w:color="2E75B6" w:sz="6" w:space="1"/>
        </w:pBdr>
        <w:spacing w:before="400" w:after="160"/>
      </w:pPr>
      <w:r>
        <w:rPr>
          <w:rFonts w:ascii="Arial" w:cs="Arial" w:eastAsia="Arial" w:hAnsi="Arial"/>
          <w:b/>
          <w:bCs/>
          <w:color w:val="1B3A6B"/>
          <w:sz w:val="36"/>
          <w:szCs w:val="36"/>
        </w:rPr>
        <w:t xml:space="preserve">7. Depreciation and Lifecycle Valuation</w:t>
      </w:r>
    </w:p>
    <w:p>
      <w:pPr>
        <w:pStyle w:val="Heading2"/>
        <w:spacing w:before="280" w:after="120"/>
      </w:pPr>
      <w:r>
        <w:rPr>
          <w:rFonts w:ascii="Arial" w:cs="Arial" w:eastAsia="Arial" w:hAnsi="Arial"/>
          <w:b/>
          <w:bCs/>
          <w:color w:val="1B3A6B"/>
          <w:sz w:val="28"/>
          <w:szCs w:val="28"/>
        </w:rPr>
        <w:t xml:space="preserve">7.1 Why Standard Straight-Line is Wrong for Robots</w:t>
      </w:r>
    </w:p>
    <w:p>
      <w:pPr>
        <w:spacing w:before="80" w:after="120"/>
        <w:jc w:val="both"/>
      </w:pPr>
      <w:r>
        <w:rPr>
          <w:rFonts w:ascii="Arial" w:cs="Arial" w:eastAsia="Arial" w:hAnsi="Arial"/>
          <w:sz w:val="22"/>
          <w:szCs w:val="22"/>
        </w:rPr>
        <w:t xml:space="preserve">Standard straight-line depreciation (equal loss of value each year) is inaccurate for autonomous machines. Humanoid robots face high early obsolescence risk as the technology moves rapidly, then stabilise into a predictable wear cycle, before declining slowly as hardware outlives software support. MARS defines a three-phase model that reflects this reality.</w:t>
      </w:r>
    </w:p>
    <w:p>
      <w:pPr>
        <w:pStyle w:val="Heading2"/>
        <w:spacing w:before="280" w:after="120"/>
      </w:pPr>
      <w:r>
        <w:rPr>
          <w:rFonts w:ascii="Arial" w:cs="Arial" w:eastAsia="Arial" w:hAnsi="Arial"/>
          <w:b/>
          <w:bCs/>
          <w:color w:val="1B3A6B"/>
          <w:sz w:val="28"/>
          <w:szCs w:val="28"/>
        </w:rPr>
        <w:t xml:space="preserve">7.2 MARS-DEP Three-Phase Depreciation Model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1600"/>
        <w:gridCol w:w="2400"/>
        <w:gridCol w:w="3160"/>
      </w:tblGrid>
      <w:tr>
        <w:tc>
          <w:tcPr>
            <w:tcW w:type="dxa" w:w="2200"/>
            <w:tcBorders>
              <w:top w:val="single" w:color="2E75B6" w:sz="1"/>
              <w:left w:val="single" w:color="2E75B6" w:sz="1"/>
              <w:bottom w:val="single" w:color="2E75B6" w:sz="1"/>
              <w:right w:val="single" w:color="2E75B6"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Phase</w:t>
            </w:r>
          </w:p>
        </w:tc>
        <w:tc>
          <w:tcPr>
            <w:tcW w:type="dxa" w:w="1600"/>
            <w:tcBorders>
              <w:top w:val="single" w:color="2E75B6" w:sz="1"/>
              <w:left w:val="single" w:color="2E75B6" w:sz="1"/>
              <w:bottom w:val="single" w:color="2E75B6" w:sz="1"/>
              <w:right w:val="single" w:color="2E75B6"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Period</w:t>
            </w:r>
          </w:p>
        </w:tc>
        <w:tc>
          <w:tcPr>
            <w:tcW w:type="dxa" w:w="2400"/>
            <w:tcBorders>
              <w:top w:val="single" w:color="2E75B6" w:sz="1"/>
              <w:left w:val="single" w:color="2E75B6" w:sz="1"/>
              <w:bottom w:val="single" w:color="2E75B6" w:sz="1"/>
              <w:right w:val="single" w:color="2E75B6"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Annual Rate</w:t>
            </w:r>
          </w:p>
        </w:tc>
        <w:tc>
          <w:tcPr>
            <w:tcW w:type="dxa" w:w="3160"/>
            <w:tcBorders>
              <w:top w:val="single" w:color="2E75B6" w:sz="1"/>
              <w:left w:val="single" w:color="2E75B6" w:sz="1"/>
              <w:bottom w:val="single" w:color="2E75B6" w:sz="1"/>
              <w:right w:val="single" w:color="2E75B6"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Primary Driver</w:t>
            </w:r>
          </w:p>
        </w:tc>
      </w:tr>
      <w:tr>
        <w:tc>
          <w:tcPr>
            <w:tcW w:type="dxa" w:w="2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1B3A6B"/>
                <w:sz w:val="20"/>
                <w:szCs w:val="20"/>
              </w:rPr>
              <w:t xml:space="preserve">Phase 1: Rapid Initial</w:t>
            </w:r>
          </w:p>
        </w:tc>
        <w:tc>
          <w:tcPr>
            <w:tcW w:type="dxa" w:w="1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Year 1-2 (days 0-730)</w:t>
            </w:r>
          </w:p>
        </w:tc>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20-25% of P/yr</w:t>
            </w:r>
          </w:p>
        </w:tc>
        <w:tc>
          <w:tcPr>
            <w:tcW w:type="dxa" w:w="31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Technology obsolescence risk — next generation robot may arrive. Software immaturity means performance is still improving, reducing current unit value.</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B3A6B"/>
                <w:sz w:val="20"/>
                <w:szCs w:val="20"/>
              </w:rPr>
              <w:t xml:space="preserve">Phase 2: Stable Operational</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Year 3-6 (days 731-2190)</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10-15% of P/yr</w:t>
            </w:r>
          </w:p>
        </w:tc>
        <w:tc>
          <w:tcPr>
            <w:tcW w:type="dxa" w:w="3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Normal hardware wear. Predictable component replacement cycle. Performance stable.</w:t>
            </w:r>
          </w:p>
        </w:tc>
      </w:tr>
      <w:tr>
        <w:tc>
          <w:tcPr>
            <w:tcW w:type="dxa" w:w="2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1B3A6B"/>
                <w:sz w:val="20"/>
                <w:szCs w:val="20"/>
              </w:rPr>
              <w:t xml:space="preserve">Phase 3: Terminal</w:t>
            </w:r>
          </w:p>
        </w:tc>
        <w:tc>
          <w:tcPr>
            <w:tcW w:type="dxa" w:w="1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Year 7+ (days 2191+)</w:t>
            </w:r>
          </w:p>
        </w:tc>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5-8% of P/yr</w:t>
            </w:r>
          </w:p>
        </w:tc>
        <w:tc>
          <w:tcPr>
            <w:tcW w:type="dxa" w:w="31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Residual hardware value. Parts availability declining. Manufacturer software support may end. Resale market thin.</w:t>
            </w:r>
          </w:p>
        </w:tc>
      </w:tr>
    </w:tbl>
    <w:p>
      <w:pPr>
        <w:pStyle w:val="Heading2"/>
        <w:spacing w:before="280" w:after="120"/>
      </w:pPr>
      <w:r>
        <w:rPr>
          <w:rFonts w:ascii="Arial" w:cs="Arial" w:eastAsia="Arial" w:hAnsi="Arial"/>
          <w:b/>
          <w:bCs/>
          <w:color w:val="1B3A6B"/>
          <w:sz w:val="28"/>
          <w:szCs w:val="28"/>
        </w:rPr>
        <w:t xml:space="preserve">7.3 Resale Value Estimation</w:t>
      </w:r>
    </w:p>
    <w:p>
      <w:pPr>
        <w:spacing w:before="80" w:after="120"/>
        <w:jc w:val="both"/>
      </w:pPr>
      <w:r>
        <w:rPr>
          <w:rFonts w:ascii="Arial" w:cs="Arial" w:eastAsia="Arial" w:hAnsi="Arial"/>
          <w:sz w:val="22"/>
          <w:szCs w:val="22"/>
        </w:rPr>
        <w:t xml:space="preserve">MARS creates the first auditable performance provenance record for autonomous machines, enabling a substantiated resale value calculation analogous to a vehicle service history.</w:t>
      </w:r>
    </w:p>
    <w:p>
      <w:pPr>
        <w:shd w:fill="F0F0F0" w:val="clear"/>
        <w:spacing w:before="20" w:after="20"/>
        <w:ind w:left="720"/>
      </w:pPr>
      <w:r>
        <w:rPr>
          <w:rFonts w:ascii="Courier New" w:cs="Courier New" w:eastAsia="Courier New" w:hAnsi="Courier New"/>
          <w:sz w:val="20"/>
          <w:szCs w:val="20"/>
        </w:rPr>
        <w:t xml:space="preserve">RSV = P x (1 - cumulative_depreciation_rate)</w:t>
      </w:r>
    </w:p>
    <w:p>
      <w:pPr>
        <w:shd w:fill="F0F0F0" w:val="clear"/>
        <w:spacing w:before="20" w:after="20"/>
        <w:ind w:left="720"/>
      </w:pPr>
      <w:r>
        <w:rPr>
          <w:rFonts w:ascii="Courier New" w:cs="Courier New" w:eastAsia="Courier New" w:hAnsi="Courier New"/>
          <w:sz w:val="20"/>
          <w:szCs w:val="20"/>
        </w:rPr>
        <w:t xml:space="preserve">        x condition_factor</w:t>
      </w:r>
    </w:p>
    <w:p>
      <w:pPr>
        <w:shd w:fill="F0F0F0" w:val="clear"/>
        <w:spacing w:before="20" w:after="20"/>
        <w:ind w:left="720"/>
      </w:pPr>
      <w:r>
        <w:rPr>
          <w:rFonts w:ascii="Courier New" w:cs="Courier New" w:eastAsia="Courier New" w:hAnsi="Courier New"/>
          <w:sz w:val="20"/>
          <w:szCs w:val="20"/>
        </w:rPr>
        <w:t xml:space="preserve">        x model_factor</w:t>
      </w:r>
    </w:p>
    <w:p>
      <w:pPr>
        <w:shd w:fill="F0F0F0" w:val="clear"/>
        <w:spacing w:before="20" w:after="20"/>
        <w:ind w:left="720"/>
      </w:pPr>
      <w:r>
        <w:rPr>
          <w:rFonts w:ascii="Courier New" w:cs="Courier New" w:eastAsia="Courier New" w:hAnsi="Courier New"/>
          <w:sz w:val="20"/>
          <w:szCs w:val="20"/>
        </w:rPr>
        <w:t xml:space="preserve"/>
      </w:r>
    </w:p>
    <w:p>
      <w:pPr>
        <w:shd w:fill="F0F0F0" w:val="clear"/>
        <w:spacing w:before="20" w:after="20"/>
        <w:ind w:left="720"/>
      </w:pPr>
      <w:r>
        <w:rPr>
          <w:rFonts w:ascii="Courier New" w:cs="Courier New" w:eastAsia="Courier New" w:hAnsi="Courier New"/>
          <w:sz w:val="20"/>
          <w:szCs w:val="20"/>
        </w:rPr>
        <w:t xml:space="preserve">Where:</w:t>
      </w:r>
    </w:p>
    <w:p>
      <w:pPr>
        <w:shd w:fill="F0F0F0" w:val="clear"/>
        <w:spacing w:before="20" w:after="20"/>
        <w:ind w:left="720"/>
      </w:pPr>
      <w:r>
        <w:rPr>
          <w:rFonts w:ascii="Courier New" w:cs="Courier New" w:eastAsia="Courier New" w:hAnsi="Courier New"/>
          <w:sz w:val="20"/>
          <w:szCs w:val="20"/>
        </w:rPr>
        <w:t xml:space="preserve">  condition_factor = (TSR_lifetime_avg x 0.6) + (AS_lifetime_avg x 0.4)</w:t>
      </w:r>
    </w:p>
    <w:p>
      <w:pPr>
        <w:shd w:fill="F0F0F0" w:val="clear"/>
        <w:spacing w:before="20" w:after="20"/>
        <w:ind w:left="720"/>
      </w:pPr>
      <w:r>
        <w:rPr>
          <w:rFonts w:ascii="Courier New" w:cs="Courier New" w:eastAsia="Courier New" w:hAnsi="Courier New"/>
          <w:sz w:val="20"/>
          <w:szCs w:val="20"/>
        </w:rPr>
        <w:t xml:space="preserve">  model_factor     = 0.5 to 1.0 based on manufacturer support status</w:t>
      </w:r>
    </w:p>
    <w:p>
      <w:pPr>
        <w:spacing w:before="80" w:after="120"/>
        <w:jc w:val="both"/>
      </w:pPr>
      <w:r>
        <w:rPr>
          <w:rFonts w:ascii="Arial" w:cs="Arial" w:eastAsia="Arial" w:hAnsi="Arial"/>
          <w:b/>
          <w:bCs/>
          <w:sz w:val="22"/>
          <w:szCs w:val="22"/>
        </w:rPr>
        <w:t xml:space="preserve">Why weighted average, not product: </w:t>
      </w:r>
      <w:r>
        <w:rPr>
          <w:rFonts w:ascii="Arial" w:cs="Arial" w:eastAsia="Arial" w:hAnsi="Arial"/>
          <w:sz w:val="22"/>
          <w:szCs w:val="22"/>
        </w:rPr>
        <w:t xml:space="preserve">Using TSR x AS as a product over-penalises. If TSR = 0.88 and AS = 0.90, the product gives 0.79 (21% discount) but a weighted average gives 0.888 (11% discount). A weighted average better reflects how the used robot market actually prices performance — both dimensions matter but neither alone kills the value.</w:t>
      </w:r>
    </w:p>
    <w:p>
      <w:pPr>
        <w:shd w:fill="FFF3CD" w:val="clear"/>
        <w:spacing w:before="100" w:after="100"/>
      </w:pPr>
      <w:r>
        <w:rPr>
          <w:rFonts w:ascii="Arial" w:cs="Arial" w:eastAsia="Arial" w:hAnsi="Arial"/>
          <w:b/>
          <w:bCs/>
          <w:color w:val="856404"/>
          <w:sz w:val="20"/>
          <w:szCs w:val="20"/>
        </w:rPr>
        <w:t xml:space="preserve">NOTE: </w:t>
      </w:r>
      <w:r>
        <w:rPr>
          <w:rFonts w:ascii="Arial" w:cs="Arial" w:eastAsia="Arial" w:hAnsi="Arial"/>
          <w:i/>
          <w:iCs/>
          <w:sz w:val="20"/>
          <w:szCs w:val="20"/>
        </w:rPr>
        <w:t xml:space="preserve">The resale market for humanoid robots is nascent as of 2026. No reliable market comparables exist. RSV estimates should be treated as indicative only until a functioning secondary market develops.</w:t>
      </w:r>
    </w:p>
    <w:p>
      <w:r>
        <w:br w:type="page"/>
      </w:r>
    </w:p>
    <w:p>
      <w:pPr>
        <w:pStyle w:val="Heading1"/>
        <w:pBdr>
          <w:bottom w:val="single" w:color="2E75B6" w:sz="6" w:space="1"/>
        </w:pBdr>
        <w:spacing w:before="400" w:after="160"/>
      </w:pPr>
      <w:r>
        <w:rPr>
          <w:rFonts w:ascii="Arial" w:cs="Arial" w:eastAsia="Arial" w:hAnsi="Arial"/>
          <w:b/>
          <w:bCs/>
          <w:color w:val="1B3A6B"/>
          <w:sz w:val="36"/>
          <w:szCs w:val="36"/>
        </w:rPr>
        <w:t xml:space="preserve">8. Implementation Guide</w:t>
      </w:r>
    </w:p>
    <w:p>
      <w:pPr>
        <w:pStyle w:val="Heading2"/>
        <w:spacing w:before="280" w:after="120"/>
      </w:pPr>
      <w:r>
        <w:rPr>
          <w:rFonts w:ascii="Arial" w:cs="Arial" w:eastAsia="Arial" w:hAnsi="Arial"/>
          <w:b/>
          <w:bCs/>
          <w:color w:val="1B3A6B"/>
          <w:sz w:val="28"/>
          <w:szCs w:val="28"/>
        </w:rPr>
        <w:t xml:space="preserve">8.1 Minimum Data Requirements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3200"/>
        <w:gridCol w:w="4760"/>
      </w:tblGrid>
      <w:tr>
        <w:tc>
          <w:tcPr>
            <w:tcW w:type="dxa" w:w="1400"/>
            <w:tcBorders>
              <w:top w:val="single" w:color="2E75B6" w:sz="1"/>
              <w:left w:val="single" w:color="2E75B6" w:sz="1"/>
              <w:bottom w:val="single" w:color="2E75B6" w:sz="1"/>
              <w:right w:val="single" w:color="2E75B6"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Tier</w:t>
            </w:r>
          </w:p>
        </w:tc>
        <w:tc>
          <w:tcPr>
            <w:tcW w:type="dxa" w:w="3200"/>
            <w:tcBorders>
              <w:top w:val="single" w:color="2E75B6" w:sz="1"/>
              <w:left w:val="single" w:color="2E75B6" w:sz="1"/>
              <w:bottom w:val="single" w:color="2E75B6" w:sz="1"/>
              <w:right w:val="single" w:color="2E75B6"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Fields</w:t>
            </w:r>
          </w:p>
        </w:tc>
        <w:tc>
          <w:tcPr>
            <w:tcW w:type="dxa" w:w="4760"/>
            <w:tcBorders>
              <w:top w:val="single" w:color="2E75B6" w:sz="1"/>
              <w:left w:val="single" w:color="2E75B6" w:sz="1"/>
              <w:bottom w:val="single" w:color="2E75B6" w:sz="1"/>
              <w:right w:val="single" w:color="2E75B6"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Enables</w:t>
            </w:r>
          </w:p>
        </w:tc>
      </w:tr>
      <w:tr>
        <w:tc>
          <w:tcPr>
            <w:tcW w:type="dxa" w:w="1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1B3A6B"/>
                <w:sz w:val="20"/>
                <w:szCs w:val="20"/>
              </w:rPr>
              <w:t xml:space="preserve">Core (Required)</w:t>
            </w:r>
          </w:p>
        </w:tc>
        <w:tc>
          <w:tcPr>
            <w:tcW w:type="dxa" w:w="3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ourier New" w:cs="Courier New" w:eastAsia="Courier New" w:hAnsi="Courier New"/>
                <w:sz w:val="20"/>
                <w:szCs w:val="20"/>
              </w:rPr>
              <w:t xml:space="preserve">machine_id, vendor, model, timestamp, uptime_hours, downtime_hours, incident_count, tasks_completed, tasks_attempted, H_auto, H_op</w:t>
            </w:r>
          </w:p>
        </w:tc>
        <w:tc>
          <w:tcPr>
            <w:tcW w:type="dxa" w:w="47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MTBI, TSR, AS, intervention_rate calculation. Basic operational record.</w:t>
            </w:r>
          </w:p>
        </w:tc>
      </w:tr>
      <w:tr>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B3A6B"/>
                <w:sz w:val="20"/>
                <w:szCs w:val="20"/>
              </w:rPr>
              <w:t xml:space="preserve">Insurance (Required)</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ourier New" w:cs="Courier New" w:eastAsia="Courier New" w:hAnsi="Courier New"/>
                <w:sz w:val="20"/>
                <w:szCs w:val="20"/>
              </w:rPr>
              <w:t xml:space="preserve">falls_detected, collision_events, near_miss_events, ISO compliance flags, safety_score</w:t>
            </w:r>
          </w:p>
        </w:tc>
        <w:tc>
          <w:tcPr>
            <w:tcW w:type="dxa" w:w="4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Full MARS Risk Score (MRS). Insurance underwriting eligibility.</w:t>
            </w:r>
          </w:p>
        </w:tc>
      </w:tr>
      <w:tr>
        <w:tc>
          <w:tcPr>
            <w:tcW w:type="dxa" w:w="1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1B3A6B"/>
                <w:sz w:val="20"/>
                <w:szCs w:val="20"/>
              </w:rPr>
              <w:t xml:space="preserve">Financial (Operator-provided)</w:t>
            </w:r>
          </w:p>
        </w:tc>
        <w:tc>
          <w:tcPr>
            <w:tcW w:type="dxa" w:w="3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ourier New" w:cs="Courier New" w:eastAsia="Courier New" w:hAnsi="Courier New"/>
                <w:sz w:val="20"/>
                <w:szCs w:val="20"/>
              </w:rPr>
              <w:t xml:space="preserve">purchase_price, expected_lifespan_years, hle_annual, displacement_factor, deployment_date</w:t>
            </w:r>
          </w:p>
        </w:tc>
        <w:tc>
          <w:tcPr>
            <w:tcW w:type="dxa" w:w="47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Complete AM-ROI calculation. TCO breakdown. Payback period.</w:t>
            </w:r>
          </w:p>
        </w:tc>
      </w:tr>
      <w:tr>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B3A6B"/>
                <w:sz w:val="20"/>
                <w:szCs w:val="20"/>
              </w:rPr>
              <w:t xml:space="preserve">AI Performance (Recommended)</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ourier New" w:cs="Courier New" w:eastAsia="Courier New" w:hAnsi="Courier New"/>
                <w:sz w:val="20"/>
                <w:szCs w:val="20"/>
              </w:rPr>
              <w:t xml:space="preserve">vision_accuracy, drift_index, hallucination_rate, model_version</w:t>
            </w:r>
          </w:p>
        </w:tc>
        <w:tc>
          <w:tcPr>
            <w:tcW w:type="dxa" w:w="4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AI-specific insurance (aiSure-type). Drift monitoring. Model version tracking.</w:t>
            </w:r>
          </w:p>
        </w:tc>
      </w:tr>
      <w:tr>
        <w:tc>
          <w:tcPr>
            <w:tcW w:type="dxa" w:w="1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1B3A6B"/>
                <w:sz w:val="20"/>
                <w:szCs w:val="20"/>
              </w:rPr>
              <w:t xml:space="preserve">Energy / Maintenance (Recommended)</w:t>
            </w:r>
          </w:p>
        </w:tc>
        <w:tc>
          <w:tcPr>
            <w:tcW w:type="dxa" w:w="3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ourier New" w:cs="Courier New" w:eastAsia="Courier New" w:hAnsi="Courier New"/>
                <w:sz w:val="20"/>
                <w:szCs w:val="20"/>
              </w:rPr>
              <w:t xml:space="preserve">energy_kwh_total, maintenance_cost, components_replaced, battery_health_pct</w:t>
            </w:r>
          </w:p>
        </w:tc>
        <w:tc>
          <w:tcPr>
            <w:tcW w:type="dxa" w:w="47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Full TCO accuracy. Predictive maintenance. Asset lifecycle tracking.</w:t>
            </w:r>
          </w:p>
        </w:tc>
      </w:tr>
    </w:tbl>
    <w:p>
      <w:pPr>
        <w:pStyle w:val="Heading2"/>
        <w:spacing w:before="280" w:after="120"/>
      </w:pPr>
      <w:r>
        <w:rPr>
          <w:rFonts w:ascii="Arial" w:cs="Arial" w:eastAsia="Arial" w:hAnsi="Arial"/>
          <w:b/>
          <w:bCs/>
          <w:color w:val="1B3A6B"/>
          <w:sz w:val="28"/>
          <w:szCs w:val="28"/>
        </w:rPr>
        <w:t xml:space="preserve">8.2 Integration Pathways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1600"/>
        <w:gridCol w:w="1560"/>
        <w:gridCol w:w="3800"/>
      </w:tblGrid>
      <w:tr>
        <w:tc>
          <w:tcPr>
            <w:tcW w:type="dxa" w:w="2400"/>
            <w:tcBorders>
              <w:top w:val="single" w:color="2E75B6" w:sz="1"/>
              <w:left w:val="single" w:color="2E75B6" w:sz="1"/>
              <w:bottom w:val="single" w:color="2E75B6" w:sz="1"/>
              <w:right w:val="single" w:color="2E75B6"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Pathway</w:t>
            </w:r>
          </w:p>
        </w:tc>
        <w:tc>
          <w:tcPr>
            <w:tcW w:type="dxa" w:w="1600"/>
            <w:tcBorders>
              <w:top w:val="single" w:color="2E75B6" w:sz="1"/>
              <w:left w:val="single" w:color="2E75B6" w:sz="1"/>
              <w:bottom w:val="single" w:color="2E75B6" w:sz="1"/>
              <w:right w:val="single" w:color="2E75B6"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Complexity</w:t>
            </w:r>
          </w:p>
        </w:tc>
        <w:tc>
          <w:tcPr>
            <w:tcW w:type="dxa" w:w="1560"/>
            <w:tcBorders>
              <w:top w:val="single" w:color="2E75B6" w:sz="1"/>
              <w:left w:val="single" w:color="2E75B6" w:sz="1"/>
              <w:bottom w:val="single" w:color="2E75B6" w:sz="1"/>
              <w:right w:val="single" w:color="2E75B6"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Time</w:t>
            </w:r>
          </w:p>
        </w:tc>
        <w:tc>
          <w:tcPr>
            <w:tcW w:type="dxa" w:w="3800"/>
            <w:tcBorders>
              <w:top w:val="single" w:color="2E75B6" w:sz="1"/>
              <w:left w:val="single" w:color="2E75B6" w:sz="1"/>
              <w:bottom w:val="single" w:color="2E75B6" w:sz="1"/>
              <w:right w:val="single" w:color="2E75B6"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Best For</w:t>
            </w:r>
          </w:p>
        </w:tc>
      </w:tr>
      <w:tr>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ROS2 Topic Bridge</w:t>
            </w:r>
          </w:p>
        </w:tc>
        <w:tc>
          <w:tcPr>
            <w:tcW w:type="dxa" w:w="1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Low-Medium</w:t>
            </w:r>
          </w:p>
        </w:tc>
        <w:tc>
          <w:tcPr>
            <w:tcW w:type="dxa" w:w="1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1-2 weeks</w:t>
            </w:r>
          </w:p>
        </w:tc>
        <w:tc>
          <w:tcPr>
            <w:tcW w:type="dxa" w:w="3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Any ROS2-compatible autonomous machine. Subscribe to standard topics and map to MARS fields.</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Vendor Cloud API</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Low</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1 week</w:t>
            </w:r>
          </w:p>
        </w:tc>
        <w:tc>
          <w:tcPr>
            <w:tcW w:type="dxa" w:w="3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Robots with existing cloud telemetry (Figure, Boston Dynamics, Agility). Map vendor fields to MARS schema.</w:t>
            </w:r>
          </w:p>
        </w:tc>
      </w:tr>
      <w:tr>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MARS SDK (Direct)</w:t>
            </w:r>
          </w:p>
        </w:tc>
        <w:tc>
          <w:tcPr>
            <w:tcW w:type="dxa" w:w="1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Medium</w:t>
            </w:r>
          </w:p>
        </w:tc>
        <w:tc>
          <w:tcPr>
            <w:tcW w:type="dxa" w:w="1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2-4 weeks</w:t>
            </w:r>
          </w:p>
        </w:tc>
        <w:tc>
          <w:tcPr>
            <w:tcW w:type="dxa" w:w="3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Greenfield deployments. Full control over data collection. Most complete MARS record.</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InOrbit / Viam Integration</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Low</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Days</w:t>
            </w:r>
          </w:p>
        </w:tc>
        <w:tc>
          <w:tcPr>
            <w:tcW w:type="dxa" w:w="3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Fleets already on RobOps platforms. MARS as an analytics layer above existing telemetry.</w:t>
            </w:r>
          </w:p>
        </w:tc>
      </w:tr>
      <w:tr>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Isaac Sim / Gazebo</w:t>
            </w:r>
          </w:p>
        </w:tc>
        <w:tc>
          <w:tcPr>
            <w:tcW w:type="dxa" w:w="1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Low</w:t>
            </w:r>
          </w:p>
        </w:tc>
        <w:tc>
          <w:tcPr>
            <w:tcW w:type="dxa" w:w="1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Days</w:t>
            </w:r>
          </w:p>
        </w:tc>
        <w:tc>
          <w:tcPr>
            <w:tcW w:type="dxa" w:w="3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Pilot validation and demo environments. Generate synthetic MARS-compliant records.</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Manual Entry Baseline</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Minimal</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Hours</w:t>
            </w:r>
          </w:p>
        </w:tc>
        <w:tc>
          <w:tcPr>
            <w:tcW w:type="dxa" w:w="3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Proof of concept. Historical data import. Operator-provided financial inputs only.</w:t>
            </w:r>
          </w:p>
        </w:tc>
      </w:tr>
    </w:tbl>
    <w:p>
      <w:pPr>
        <w:pStyle w:val="Heading2"/>
        <w:spacing w:before="280" w:after="120"/>
      </w:pPr>
      <w:r>
        <w:rPr>
          <w:rFonts w:ascii="Arial" w:cs="Arial" w:eastAsia="Arial" w:hAnsi="Arial"/>
          <w:b/>
          <w:bCs/>
          <w:color w:val="1B3A6B"/>
          <w:sz w:val="28"/>
          <w:szCs w:val="28"/>
        </w:rPr>
        <w:t xml:space="preserve">8.3 4-Week Pilot Programme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2400"/>
        <w:gridCol w:w="5560"/>
      </w:tblGrid>
      <w:tr>
        <w:tc>
          <w:tcPr>
            <w:tcW w:type="dxa" w:w="1400"/>
            <w:tcBorders>
              <w:top w:val="single" w:color="2E75B6" w:sz="1"/>
              <w:left w:val="single" w:color="2E75B6" w:sz="1"/>
              <w:bottom w:val="single" w:color="2E75B6" w:sz="1"/>
              <w:right w:val="single" w:color="2E75B6"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Week</w:t>
            </w:r>
          </w:p>
        </w:tc>
        <w:tc>
          <w:tcPr>
            <w:tcW w:type="dxa" w:w="2400"/>
            <w:tcBorders>
              <w:top w:val="single" w:color="2E75B6" w:sz="1"/>
              <w:left w:val="single" w:color="2E75B6" w:sz="1"/>
              <w:bottom w:val="single" w:color="2E75B6" w:sz="1"/>
              <w:right w:val="single" w:color="2E75B6"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Phase</w:t>
            </w:r>
          </w:p>
        </w:tc>
        <w:tc>
          <w:tcPr>
            <w:tcW w:type="dxa" w:w="5560"/>
            <w:tcBorders>
              <w:top w:val="single" w:color="2E75B6" w:sz="1"/>
              <w:left w:val="single" w:color="2E75B6" w:sz="1"/>
              <w:bottom w:val="single" w:color="2E75B6" w:sz="1"/>
              <w:right w:val="single" w:color="2E75B6"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Activities and Deliverables</w:t>
            </w:r>
          </w:p>
        </w:tc>
      </w:tr>
      <w:tr>
        <w:tc>
          <w:tcPr>
            <w:tcW w:type="dxa" w:w="1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1B3A6B"/>
                <w:sz w:val="20"/>
                <w:szCs w:val="20"/>
              </w:rPr>
              <w:t xml:space="preserve">Week 1</w:t>
            </w:r>
          </w:p>
        </w:tc>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Integration and Baseline</w:t>
            </w:r>
          </w:p>
        </w:tc>
        <w:tc>
          <w:tcPr>
            <w:tcW w:type="dxa" w:w="5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Connect robot via chosen integration pathway. Activate Core tier logging. Establish TSR, AS, and MTBI baselines. Confirm SHA-256 audit hash chain integrity.</w:t>
            </w:r>
          </w:p>
        </w:tc>
      </w:tr>
      <w:tr>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B3A6B"/>
                <w:sz w:val="20"/>
                <w:szCs w:val="20"/>
              </w:rPr>
              <w:t xml:space="preserve">Week 2</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Safety and Stability</w:t>
            </w:r>
          </w:p>
        </w:tc>
        <w:tc>
          <w:tcPr>
            <w:tcW w:type="dxa" w:w="5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Activate Insurance tier. Capture falls, collisions, near-misses. Log ISO compliance indicators. Establish fall severity index baseline.</w:t>
            </w:r>
          </w:p>
        </w:tc>
      </w:tr>
      <w:tr>
        <w:tc>
          <w:tcPr>
            <w:tcW w:type="dxa" w:w="1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1B3A6B"/>
                <w:sz w:val="20"/>
                <w:szCs w:val="20"/>
              </w:rPr>
              <w:t xml:space="preserve">Week 3</w:t>
            </w:r>
          </w:p>
        </w:tc>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AI Performance and Economics</w:t>
            </w:r>
          </w:p>
        </w:tc>
        <w:tc>
          <w:tcPr>
            <w:tcW w:type="dxa" w:w="5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Activate vision accuracy and drift monitoring. Inject operator Financial tier inputs (purchase price, HLE, DF). Generate first AM-ROI calculation.</w:t>
            </w:r>
          </w:p>
        </w:tc>
      </w:tr>
      <w:tr>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B3A6B"/>
                <w:sz w:val="20"/>
                <w:szCs w:val="20"/>
              </w:rPr>
              <w:t xml:space="preserve">Week 4</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Reporting and Validation</w:t>
            </w:r>
          </w:p>
        </w:tc>
        <w:tc>
          <w:tcPr>
            <w:tcW w:type="dxa" w:w="5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Generate full AM-ROI report. Compute MRS score. Produce insurer-ready data package. Validate RaaS SLA compliance status if applicable.</w:t>
            </w:r>
          </w:p>
        </w:tc>
      </w:tr>
    </w:tbl>
    <w:p>
      <w:r>
        <w:br w:type="page"/>
      </w:r>
    </w:p>
    <w:p>
      <w:pPr>
        <w:pStyle w:val="Heading1"/>
        <w:pBdr>
          <w:bottom w:val="single" w:color="2E75B6" w:sz="6" w:space="1"/>
        </w:pBdr>
        <w:spacing w:before="400" w:after="160"/>
      </w:pPr>
      <w:r>
        <w:rPr>
          <w:rFonts w:ascii="Arial" w:cs="Arial" w:eastAsia="Arial" w:hAnsi="Arial"/>
          <w:b/>
          <w:bCs/>
          <w:color w:val="1B3A6B"/>
          <w:sz w:val="36"/>
          <w:szCs w:val="36"/>
        </w:rPr>
        <w:t xml:space="preserve">9. Confidence Levels — What to Trust</w:t>
      </w:r>
    </w:p>
    <w:p>
      <w:pPr>
        <w:spacing w:before="80" w:after="120"/>
        <w:jc w:val="both"/>
      </w:pPr>
      <w:r>
        <w:rPr>
          <w:rFonts w:ascii="Arial" w:cs="Arial" w:eastAsia="Arial" w:hAnsi="Arial"/>
          <w:sz w:val="22"/>
          <w:szCs w:val="22"/>
        </w:rPr>
        <w:t xml:space="preserve">This section exists because MARS is an honest standard. Every element below is classified by the strength of the evidence behind it. Readers should apply appropriate scrutiny to estimated values.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1600"/>
        <w:gridCol w:w="4960"/>
      </w:tblGrid>
      <w:tr>
        <w:tc>
          <w:tcPr>
            <w:tcW w:type="dxa" w:w="2800"/>
            <w:tcBorders>
              <w:top w:val="single" w:color="2E75B6" w:sz="1"/>
              <w:left w:val="single" w:color="2E75B6" w:sz="1"/>
              <w:bottom w:val="single" w:color="2E75B6" w:sz="1"/>
              <w:right w:val="single" w:color="2E75B6"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Element</w:t>
            </w:r>
          </w:p>
        </w:tc>
        <w:tc>
          <w:tcPr>
            <w:tcW w:type="dxa" w:w="1600"/>
            <w:tcBorders>
              <w:top w:val="single" w:color="2E75B6" w:sz="1"/>
              <w:left w:val="single" w:color="2E75B6" w:sz="1"/>
              <w:bottom w:val="single" w:color="2E75B6" w:sz="1"/>
              <w:right w:val="single" w:color="2E75B6"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Confidence</w:t>
            </w:r>
          </w:p>
        </w:tc>
        <w:tc>
          <w:tcPr>
            <w:tcW w:type="dxa" w:w="4960"/>
            <w:tcBorders>
              <w:top w:val="single" w:color="2E75B6" w:sz="1"/>
              <w:left w:val="single" w:color="2E75B6" w:sz="1"/>
              <w:bottom w:val="single" w:color="2E75B6" w:sz="1"/>
              <w:right w:val="single" w:color="2E75B6"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Basis and Caveats</w:t>
            </w:r>
          </w:p>
        </w:tc>
      </w:tr>
      <w:tr>
        <w:tc>
          <w:tcPr>
            <w:tcW w:type="dxa" w:w="2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AM-ROI formula structure</w:t>
            </w:r>
          </w:p>
        </w:tc>
        <w:tc>
          <w:tcPr>
            <w:tcW w:type="dxa" w:w="1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1B6B1B"/>
                <w:sz w:val="20"/>
                <w:szCs w:val="20"/>
              </w:rPr>
              <w:t xml:space="preserve">High</w:t>
            </w:r>
          </w:p>
        </w:tc>
        <w:tc>
          <w:tcPr>
            <w:tcW w:type="dxa" w:w="49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Standard capital investment ROI methodology adapted from industrial asset economics. Formula logic is sound.</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TCO component categories</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B6B1B"/>
                <w:sz w:val="20"/>
                <w:szCs w:val="20"/>
              </w:rPr>
              <w:t xml:space="preserve">High</w:t>
            </w:r>
          </w:p>
        </w:tc>
        <w:tc>
          <w:tcPr>
            <w:tcW w:type="dxa" w:w="4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These cost categories are standard in industrial asset management literature and enterprise robotics procurement.</w:t>
            </w:r>
          </w:p>
        </w:tc>
      </w:tr>
      <w:tr>
        <w:tc>
          <w:tcPr>
            <w:tcW w:type="dxa" w:w="2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ISO standard references (10218, TS 15066, 13482)</w:t>
            </w:r>
          </w:p>
        </w:tc>
        <w:tc>
          <w:tcPr>
            <w:tcW w:type="dxa" w:w="1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1B6B1B"/>
                <w:sz w:val="20"/>
                <w:szCs w:val="20"/>
              </w:rPr>
              <w:t xml:space="preserve">High</w:t>
            </w:r>
          </w:p>
        </w:tc>
        <w:tc>
          <w:tcPr>
            <w:tcW w:type="dxa" w:w="49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Verified against ISO published standards catalogue. iso_25785 was removed in v0.9 — it does not exist.</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MTBI methodology</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B6B1B"/>
                <w:sz w:val="20"/>
                <w:szCs w:val="20"/>
              </w:rPr>
              <w:t xml:space="preserve">High</w:t>
            </w:r>
          </w:p>
        </w:tc>
        <w:tc>
          <w:tcPr>
            <w:tcW w:type="dxa" w:w="4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Directly analogous to MTBF in reliability engineering (IEC 60050-192). Adapted terminology for software and intervention events.</w:t>
            </w:r>
          </w:p>
        </w:tc>
      </w:tr>
      <w:tr>
        <w:tc>
          <w:tcPr>
            <w:tcW w:type="dxa" w:w="2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TSR and AS definitions</w:t>
            </w:r>
          </w:p>
        </w:tc>
        <w:tc>
          <w:tcPr>
            <w:tcW w:type="dxa" w:w="1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1B6B1B"/>
                <w:sz w:val="20"/>
                <w:szCs w:val="20"/>
              </w:rPr>
              <w:t xml:space="preserve">High</w:t>
            </w:r>
          </w:p>
        </w:tc>
        <w:tc>
          <w:tcPr>
            <w:tcW w:type="dxa" w:w="49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Mathematically clean, internally consistent. AS = 1 - IR is an enforced constraint, not an estimate.</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Depreciation phase model</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B3A6B"/>
                <w:sz w:val="20"/>
                <w:szCs w:val="20"/>
              </w:rPr>
              <w:t xml:space="preserve">Medium</w:t>
            </w:r>
          </w:p>
        </w:tc>
        <w:tc>
          <w:tcPr>
            <w:tcW w:type="dxa" w:w="4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Analogised from technology equipment and early cobot market data. No humanoid-specific published depreciation studies exist. Rates are informed estimates.</w:t>
            </w:r>
          </w:p>
        </w:tc>
      </w:tr>
      <w:tr>
        <w:tc>
          <w:tcPr>
            <w:tcW w:type="dxa" w:w="2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Benchmark TSR/AS ranges by deployment type</w:t>
            </w:r>
          </w:p>
        </w:tc>
        <w:tc>
          <w:tcPr>
            <w:tcW w:type="dxa" w:w="1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8B4513"/>
                <w:sz w:val="20"/>
                <w:szCs w:val="20"/>
              </w:rPr>
              <w:t xml:space="preserve">Medium-Low</w:t>
            </w:r>
          </w:p>
        </w:tc>
        <w:tc>
          <w:tcPr>
            <w:tcW w:type="dxa" w:w="49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Based on available early deployment data and manufacturer specifications. No large-scale published empirical dataset exists. Explicitly invite challenge.</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MRS weighting factors</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8B4513"/>
                <w:sz w:val="20"/>
                <w:szCs w:val="20"/>
              </w:rPr>
              <w:t xml:space="preserve">Medium-Low</w:t>
            </w:r>
          </w:p>
        </w:tc>
        <w:tc>
          <w:tcPr>
            <w:tcW w:type="dxa" w:w="4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Constructed on logical priority. Not derived from actuarial loss data. Must be reviewed by a qualified actuary before use in binding contracts.</w:t>
            </w:r>
          </w:p>
        </w:tc>
      </w:tr>
      <w:tr>
        <w:tc>
          <w:tcPr>
            <w:tcW w:type="dxa" w:w="2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Insurance premium rate ranges (% of P)</w:t>
            </w:r>
          </w:p>
        </w:tc>
        <w:tc>
          <w:tcPr>
            <w:tcW w:type="dxa" w:w="1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8B4513"/>
                <w:sz w:val="20"/>
                <w:szCs w:val="20"/>
              </w:rPr>
              <w:t xml:space="preserve">Low-Medium</w:t>
            </w:r>
          </w:p>
        </w:tc>
        <w:tc>
          <w:tcPr>
            <w:tcW w:type="dxa" w:w="49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Based on emerging market observations and analogies to other equipment insurance. Robot insurance market is immature and pricing is highly variable.</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Vision accuracy threshold (0.92)</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B3A6B"/>
                <w:sz w:val="20"/>
                <w:szCs w:val="20"/>
              </w:rPr>
              <w:t xml:space="preserve">Medium</w:t>
            </w:r>
          </w:p>
        </w:tc>
        <w:tc>
          <w:tcPr>
            <w:tcW w:type="dxa" w:w="4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Consistent with Boston Dynamics published benchmark ranges (0.88-0.94) in controlled environments. Drops significantly in unstructured settings.</w:t>
            </w:r>
          </w:p>
        </w:tc>
      </w:tr>
      <w:tr>
        <w:tc>
          <w:tcPr>
            <w:tcW w:type="dxa" w:w="2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Cost benchmarks (maintenance %, energy, operator ratios)</w:t>
            </w:r>
          </w:p>
        </w:tc>
        <w:tc>
          <w:tcPr>
            <w:tcW w:type="dxa" w:w="1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1B3A6B"/>
                <w:sz w:val="20"/>
                <w:szCs w:val="20"/>
              </w:rPr>
              <w:t xml:space="preserve">Medium</w:t>
            </w:r>
          </w:p>
        </w:tc>
        <w:tc>
          <w:tcPr>
            <w:tcW w:type="dxa" w:w="49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Based on publicly available market data and IFR World Robotics Report analogies. Should be replaced with operator actuals wherever possible.</w:t>
            </w:r>
          </w:p>
        </w:tc>
      </w:tr>
    </w:tbl>
    <w:p>
      <w:r>
        <w:br w:type="page"/>
      </w:r>
    </w:p>
    <w:p>
      <w:pPr>
        <w:pStyle w:val="Heading1"/>
        <w:pBdr>
          <w:bottom w:val="single" w:color="2E75B6" w:sz="6" w:space="1"/>
        </w:pBdr>
        <w:spacing w:before="400" w:after="160"/>
      </w:pPr>
      <w:r>
        <w:rPr>
          <w:rFonts w:ascii="Arial" w:cs="Arial" w:eastAsia="Arial" w:hAnsi="Arial"/>
          <w:b/>
          <w:bCs/>
          <w:color w:val="1B3A6B"/>
          <w:sz w:val="36"/>
          <w:szCs w:val="36"/>
        </w:rPr>
        <w:t xml:space="preserve">10. Standard Roadmap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2000"/>
        <w:gridCol w:w="5760"/>
      </w:tblGrid>
      <w:tr>
        <w:tc>
          <w:tcPr>
            <w:tcW w:type="dxa" w:w="1600"/>
            <w:tcBorders>
              <w:top w:val="single" w:color="2E75B6" w:sz="1"/>
              <w:left w:val="single" w:color="2E75B6" w:sz="1"/>
              <w:bottom w:val="single" w:color="2E75B6" w:sz="1"/>
              <w:right w:val="single" w:color="2E75B6"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Version</w:t>
            </w:r>
          </w:p>
        </w:tc>
        <w:tc>
          <w:tcPr>
            <w:tcW w:type="dxa" w:w="2000"/>
            <w:tcBorders>
              <w:top w:val="single" w:color="2E75B6" w:sz="1"/>
              <w:left w:val="single" w:color="2E75B6" w:sz="1"/>
              <w:bottom w:val="single" w:color="2E75B6" w:sz="1"/>
              <w:right w:val="single" w:color="2E75B6"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Target</w:t>
            </w:r>
          </w:p>
        </w:tc>
        <w:tc>
          <w:tcPr>
            <w:tcW w:type="dxa" w:w="5760"/>
            <w:tcBorders>
              <w:top w:val="single" w:color="2E75B6" w:sz="1"/>
              <w:left w:val="single" w:color="2E75B6" w:sz="1"/>
              <w:bottom w:val="single" w:color="2E75B6" w:sz="1"/>
              <w:right w:val="single" w:color="2E75B6"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Milestone</w:t>
            </w:r>
          </w:p>
        </w:tc>
      </w:tr>
      <w:tr>
        <w:tc>
          <w:tcPr>
            <w:tcW w:type="dxa" w:w="1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1B3A6B"/>
                <w:sz w:val="20"/>
                <w:szCs w:val="20"/>
              </w:rPr>
              <w:t xml:space="preserve">v0.9 (current)</w:t>
            </w:r>
          </w:p>
        </w:tc>
        <w:tc>
          <w:tcPr>
            <w:tcW w:type="dxa" w:w="2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March 2026</w:t>
            </w:r>
          </w:p>
        </w:tc>
        <w:tc>
          <w:tcPr>
            <w:tcW w:type="dxa" w:w="57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Core AM-ROI formula. 19-object schema. MARS Risk Score. RaaS SLA triggers. 3-phase depreciation. Public draft open for community review.</w:t>
            </w:r>
          </w:p>
        </w:tc>
      </w:tr>
      <w:tr>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B3A6B"/>
                <w:sz w:val="20"/>
                <w:szCs w:val="20"/>
              </w:rPr>
              <w:t xml:space="preserve">v1.0</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Q2 2026</w:t>
            </w:r>
          </w:p>
        </w:tc>
        <w:tc>
          <w:tcPr>
            <w:tcW w:type="dxa" w:w="5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Community-validated formula. ROS2 SDK published. First live pilot data. Insurer design partner endorsement. GitHub repository active.</w:t>
            </w:r>
          </w:p>
        </w:tc>
      </w:tr>
      <w:tr>
        <w:tc>
          <w:tcPr>
            <w:tcW w:type="dxa" w:w="1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1B3A6B"/>
                <w:sz w:val="20"/>
                <w:szCs w:val="20"/>
              </w:rPr>
              <w:t xml:space="preserve">v1.5</w:t>
            </w:r>
          </w:p>
        </w:tc>
        <w:tc>
          <w:tcPr>
            <w:tcW w:type="dxa" w:w="2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Q3 2026</w:t>
            </w:r>
          </w:p>
        </w:tc>
        <w:tc>
          <w:tcPr>
            <w:tcW w:type="dxa" w:w="57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Multi-robot fleet ROI aggregation. Cross-manufacturer benchmarking dashboard. RaaS SLA automation via parametric triggers.</w:t>
            </w:r>
          </w:p>
        </w:tc>
      </w:tr>
      <w:tr>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B3A6B"/>
                <w:sz w:val="20"/>
                <w:szCs w:val="20"/>
              </w:rPr>
              <w:t xml:space="preserve">v2.0</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Q1 2027</w:t>
            </w:r>
          </w:p>
        </w:tc>
        <w:tc>
          <w:tcPr>
            <w:tcW w:type="dxa" w:w="5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Agricultural module. Healthcare module. Parametric insurance product templates. AI drift insurance product definition.</w:t>
            </w:r>
          </w:p>
        </w:tc>
      </w:tr>
      <w:tr>
        <w:tc>
          <w:tcPr>
            <w:tcW w:type="dxa" w:w="1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1B3A6B"/>
                <w:sz w:val="20"/>
                <w:szCs w:val="20"/>
              </w:rPr>
              <w:t xml:space="preserve">v3.0</w:t>
            </w:r>
          </w:p>
        </w:tc>
        <w:tc>
          <w:tcPr>
            <w:tcW w:type="dxa" w:w="2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2028</w:t>
            </w:r>
          </w:p>
        </w:tc>
        <w:tc>
          <w:tcPr>
            <w:tcW w:type="dxa" w:w="57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222222"/>
                <w:sz w:val="20"/>
                <w:szCs w:val="20"/>
              </w:rPr>
              <w:t xml:space="preserve">Standards body submission (ISO, IFR). Regulatory framework alignment (EU AI Act, Singapore MGF). Industry certification programme.</w:t>
            </w:r>
          </w:p>
        </w:tc>
      </w:tr>
    </w:tbl>
    <w:p>
      <w:pPr>
        <w:pBdr>
          <w:bottom w:val="single" w:color="DDDDDD" w:sz="3" w:space="1"/>
        </w:pBdr>
        <w:spacing w:before="160" w:after="160"/>
      </w:pPr>
      <w:r>
        <w:rPr>
          <w:rFonts w:ascii="Arial" w:cs="Arial" w:eastAsia="Arial" w:hAnsi="Arial"/>
        </w:rPr>
        <w:t xml:space="preserve"/>
      </w:r>
    </w:p>
    <w:p>
      <w:pPr>
        <w:pStyle w:val="Heading1"/>
        <w:pBdr>
          <w:bottom w:val="single" w:color="2E75B6" w:sz="6" w:space="1"/>
        </w:pBdr>
        <w:spacing w:before="400" w:after="160"/>
      </w:pPr>
      <w:r>
        <w:rPr>
          <w:rFonts w:ascii="Arial" w:cs="Arial" w:eastAsia="Arial" w:hAnsi="Arial"/>
          <w:b/>
          <w:bCs/>
          <w:color w:val="1B3A6B"/>
          <w:sz w:val="36"/>
          <w:szCs w:val="36"/>
        </w:rPr>
        <w:t xml:space="preserve">References</w:t>
      </w:r>
    </w:p>
    <w:p>
      <w:pPr>
        <w:pStyle w:val="ListParagraph"/>
        <w:numPr>
          <w:ilvl w:val="0"/>
          <w:numId w:val="2"/>
        </w:numPr>
        <w:spacing w:before="40" w:after="40"/>
      </w:pPr>
      <w:r>
        <w:rPr>
          <w:rFonts w:ascii="Arial" w:cs="Arial" w:eastAsia="Arial" w:hAnsi="Arial"/>
          <w:sz w:val="22"/>
          <w:szCs w:val="22"/>
        </w:rPr>
        <w:t xml:space="preserve">International Federation of Robotics — World Robotics Report 2025. ifr.org</w:t>
      </w:r>
    </w:p>
    <w:p>
      <w:pPr>
        <w:pStyle w:val="ListParagraph"/>
        <w:numPr>
          <w:ilvl w:val="0"/>
          <w:numId w:val="2"/>
        </w:numPr>
        <w:spacing w:before="40" w:after="40"/>
      </w:pPr>
      <w:r>
        <w:rPr>
          <w:rFonts w:ascii="Arial" w:cs="Arial" w:eastAsia="Arial" w:hAnsi="Arial"/>
          <w:sz w:val="22"/>
          <w:szCs w:val="22"/>
        </w:rPr>
        <w:t xml:space="preserve">Munich Re — aiSure AI Performance Insurance Framework. munichre.com/insure-ai</w:t>
      </w:r>
    </w:p>
    <w:p>
      <w:pPr>
        <w:pStyle w:val="ListParagraph"/>
        <w:numPr>
          <w:ilvl w:val="0"/>
          <w:numId w:val="2"/>
        </w:numPr>
        <w:spacing w:before="40" w:after="40"/>
      </w:pPr>
      <w:r>
        <w:rPr>
          <w:rFonts w:ascii="Arial" w:cs="Arial" w:eastAsia="Arial" w:hAnsi="Arial"/>
          <w:sz w:val="22"/>
          <w:szCs w:val="22"/>
        </w:rPr>
        <w:t xml:space="preserve">Agility Robotics — Toyota TMMC Commercial RaaS Agreement Press Release, February 19, 2026</w:t>
      </w:r>
    </w:p>
    <w:p>
      <w:pPr>
        <w:pStyle w:val="ListParagraph"/>
        <w:numPr>
          <w:ilvl w:val="0"/>
          <w:numId w:val="2"/>
        </w:numPr>
        <w:spacing w:before="40" w:after="40"/>
      </w:pPr>
      <w:r>
        <w:rPr>
          <w:rFonts w:ascii="Arial" w:cs="Arial" w:eastAsia="Arial" w:hAnsi="Arial"/>
          <w:sz w:val="22"/>
          <w:szCs w:val="22"/>
        </w:rPr>
        <w:t xml:space="preserve">ISO 10218-1/2 — Robots and Robotic Devices: Safety Requirements for Industrial Robots</w:t>
      </w:r>
    </w:p>
    <w:p>
      <w:pPr>
        <w:pStyle w:val="ListParagraph"/>
        <w:numPr>
          <w:ilvl w:val="0"/>
          <w:numId w:val="2"/>
        </w:numPr>
        <w:spacing w:before="40" w:after="40"/>
      </w:pPr>
      <w:r>
        <w:rPr>
          <w:rFonts w:ascii="Arial" w:cs="Arial" w:eastAsia="Arial" w:hAnsi="Arial"/>
          <w:sz w:val="22"/>
          <w:szCs w:val="22"/>
        </w:rPr>
        <w:t xml:space="preserve">ISO/TS 15066 — Robots and Robotic Devices: Collaborative Robots</w:t>
      </w:r>
    </w:p>
    <w:p>
      <w:pPr>
        <w:pStyle w:val="ListParagraph"/>
        <w:numPr>
          <w:ilvl w:val="0"/>
          <w:numId w:val="2"/>
        </w:numPr>
        <w:spacing w:before="40" w:after="40"/>
      </w:pPr>
      <w:r>
        <w:rPr>
          <w:rFonts w:ascii="Arial" w:cs="Arial" w:eastAsia="Arial" w:hAnsi="Arial"/>
          <w:sz w:val="22"/>
          <w:szCs w:val="22"/>
        </w:rPr>
        <w:t xml:space="preserve">ISO 13482 — Robots and Robotic Devices: Safety Requirements for Personal Care Robots</w:t>
      </w:r>
    </w:p>
    <w:p>
      <w:pPr>
        <w:pStyle w:val="ListParagraph"/>
        <w:numPr>
          <w:ilvl w:val="0"/>
          <w:numId w:val="2"/>
        </w:numPr>
        <w:spacing w:before="40" w:after="40"/>
      </w:pPr>
      <w:r>
        <w:rPr>
          <w:rFonts w:ascii="Arial" w:cs="Arial" w:eastAsia="Arial" w:hAnsi="Arial"/>
          <w:sz w:val="22"/>
          <w:szCs w:val="22"/>
        </w:rPr>
        <w:t xml:space="preserve">IEC 60050-192 — International Electrotechnical Vocabulary: Dependability (MTBF/MTBI methodology basis)</w:t>
      </w:r>
    </w:p>
    <w:p>
      <w:pPr>
        <w:pStyle w:val="ListParagraph"/>
        <w:numPr>
          <w:ilvl w:val="0"/>
          <w:numId w:val="2"/>
        </w:numPr>
        <w:spacing w:before="40" w:after="40"/>
      </w:pPr>
      <w:r>
        <w:rPr>
          <w:rFonts w:ascii="Arial" w:cs="Arial" w:eastAsia="Arial" w:hAnsi="Arial"/>
          <w:sz w:val="22"/>
          <w:szCs w:val="22"/>
        </w:rPr>
        <w:t xml:space="preserve">InOrbit — RobOps Scaling Economics Whitepaper Series, 2021-2022. inorbit.ai</w:t>
      </w:r>
    </w:p>
    <w:p>
      <w:pPr>
        <w:pStyle w:val="ListParagraph"/>
        <w:numPr>
          <w:ilvl w:val="0"/>
          <w:numId w:val="2"/>
        </w:numPr>
        <w:spacing w:before="40" w:after="40"/>
      </w:pPr>
      <w:r>
        <w:rPr>
          <w:rFonts w:ascii="Arial" w:cs="Arial" w:eastAsia="Arial" w:hAnsi="Arial"/>
          <w:sz w:val="22"/>
          <w:szCs w:val="22"/>
        </w:rPr>
        <w:t xml:space="preserve">Koop Technologies — Autonomous Systems Underwriting Framework. kooptechnologies.com</w:t>
      </w:r>
    </w:p>
    <w:p>
      <w:pPr>
        <w:pStyle w:val="ListParagraph"/>
        <w:numPr>
          <w:ilvl w:val="0"/>
          <w:numId w:val="2"/>
        </w:numPr>
        <w:spacing w:before="40" w:after="40"/>
      </w:pPr>
      <w:r>
        <w:rPr>
          <w:rFonts w:ascii="Arial" w:cs="Arial" w:eastAsia="Arial" w:hAnsi="Arial"/>
          <w:sz w:val="22"/>
          <w:szCs w:val="22"/>
        </w:rPr>
        <w:t xml:space="preserve">Singapore IMDA — Model AI Governance Framework for Agentic AI, January 2026</w:t>
      </w:r>
    </w:p>
    <w:p>
      <w:pPr>
        <w:pStyle w:val="ListParagraph"/>
        <w:numPr>
          <w:ilvl w:val="0"/>
          <w:numId w:val="2"/>
        </w:numPr>
        <w:spacing w:before="40" w:after="40"/>
      </w:pPr>
      <w:r>
        <w:rPr>
          <w:rFonts w:ascii="Arial" w:cs="Arial" w:eastAsia="Arial" w:hAnsi="Arial"/>
          <w:sz w:val="22"/>
          <w:szCs w:val="22"/>
        </w:rPr>
        <w:t xml:space="preserve">Forbes — Agility Robotics and Toyota RaaS Deal Coverage, February 2026</w:t>
      </w:r>
    </w:p>
    <w:p>
      <w:pPr>
        <w:pBdr>
          <w:bottom w:val="single" w:color="DDDDDD" w:sz="3" w:space="1"/>
        </w:pBdr>
        <w:spacing w:before="160" w:after="160"/>
      </w:pPr>
      <w:r>
        <w:rPr>
          <w:rFonts w:ascii="Arial" w:cs="Arial" w:eastAsia="Arial" w:hAnsi="Arial"/>
        </w:rPr>
        <w:t xml:space="preserve"/>
      </w:r>
    </w:p>
    <w:p>
      <w:pPr>
        <w:spacing w:before="240" w:after="80"/>
        <w:jc w:val="center"/>
      </w:pPr>
      <w:r>
        <w:rPr>
          <w:rFonts w:ascii="Arial" w:cs="Arial" w:eastAsia="Arial" w:hAnsi="Arial"/>
          <w:i/>
          <w:iCs/>
          <w:color w:val="999999"/>
          <w:sz w:val="18"/>
          <w:szCs w:val="18"/>
        </w:rPr>
        <w:t xml:space="preserve">MARS v0.9  |  MachineAssets.ai  |  CC BY 4.0  |  Public Draft — Feedback Welcome</w:t>
      </w:r>
    </w:p>
    <w:p>
      <w:pPr>
        <w:spacing w:before="0" w:after="0"/>
        <w:jc w:val="center"/>
      </w:pPr>
      <w:r>
        <w:rPr>
          <w:rFonts w:ascii="Arial" w:cs="Arial" w:eastAsia="Arial" w:hAnsi="Arial"/>
          <w:color w:val="777777"/>
          <w:sz w:val="18"/>
          <w:szCs w:val="18"/>
        </w:rPr>
        <w:t xml:space="preserve">github.com/machineassets/MARS  |  emmanuel@machineassets.com</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160"/>
      <w:outlineLvl w:val="0"/>
    </w:pPr>
    <w:rPr>
      <w:rFonts w:ascii="Arial" w:cs="Arial" w:eastAsia="Arial" w:hAnsi="Arial"/>
      <w:b/>
      <w:bCs/>
      <w:color w:val="1B3A6B"/>
      <w:sz w:val="36"/>
      <w:szCs w:val="36"/>
    </w:rPr>
  </w:style>
  <w:style w:type="paragraph" w:styleId="Heading2">
    <w:name w:val="Heading 2"/>
    <w:basedOn w:val="Normal"/>
    <w:next w:val="Normal"/>
    <w:qFormat/>
    <w:pPr>
      <w:spacing w:before="280" w:after="120"/>
      <w:outlineLvl w:val="1"/>
    </w:pPr>
    <w:rPr>
      <w:rFonts w:ascii="Arial" w:cs="Arial" w:eastAsia="Arial" w:hAnsi="Arial"/>
      <w:b/>
      <w:bCs/>
      <w:color w:val="1B3A6B"/>
      <w:sz w:val="28"/>
      <w:szCs w:val="28"/>
    </w:rPr>
  </w:style>
  <w:style w:type="paragraph" w:styleId="Heading3">
    <w:name w:val="Heading 3"/>
    <w:basedOn w:val="Normal"/>
    <w:next w:val="Normal"/>
    <w:qFormat/>
    <w:pPr>
      <w:spacing w:before="200" w:after="80"/>
      <w:outlineLvl w:val="2"/>
    </w:pPr>
    <w:rPr>
      <w:rFonts w:ascii="Arial" w:cs="Arial" w:eastAsia="Arial" w:hAnsi="Arial"/>
      <w:b/>
      <w:bCs/>
      <w:color w:val="2E75B6"/>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2026-03-04T00:11:19.383Z</dcterms:created>
  <dcterms:modified xsi:type="dcterms:W3CDTF">2026-03-04T00:11:19.383Z</dcterms:modified>
</cp:coreProperties>
</file>

<file path=docProps/custom.xml><?xml version="1.0" encoding="utf-8"?>
<Properties xmlns="http://schemas.openxmlformats.org/officeDocument/2006/custom-properties" xmlns:vt="http://schemas.openxmlformats.org/officeDocument/2006/docPropsVTypes"/>
</file>